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4E042844"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1E2916">
        <w:rPr>
          <w:rFonts w:cs="Arial"/>
          <w:sz w:val="24"/>
          <w:szCs w:val="24"/>
        </w:rPr>
        <w:t>4</w:t>
      </w:r>
      <w:r w:rsidR="007D70A7">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373DB4">
        <w:rPr>
          <w:rFonts w:cs="Arial"/>
          <w:color w:val="000000"/>
          <w:sz w:val="24"/>
          <w:szCs w:val="24"/>
        </w:rPr>
        <w:t>0736</w:t>
      </w:r>
    </w:p>
    <w:p w14:paraId="2700B07E" w14:textId="26359212"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Pr>
          <w:rFonts w:eastAsia="SimSun"/>
          <w:sz w:val="24"/>
          <w:szCs w:val="24"/>
          <w:lang w:eastAsia="zh-CN"/>
        </w:rPr>
        <w:t xml:space="preserve">24 </w:t>
      </w:r>
      <w:r w:rsidR="00773A18">
        <w:rPr>
          <w:rFonts w:eastAsia="SimSun"/>
          <w:sz w:val="24"/>
          <w:szCs w:val="24"/>
          <w:lang w:eastAsia="zh-CN"/>
        </w:rPr>
        <w:t xml:space="preserve">February </w:t>
      </w:r>
      <w:r w:rsidR="00D47337">
        <w:rPr>
          <w:rFonts w:eastAsia="SimSun"/>
          <w:sz w:val="24"/>
          <w:szCs w:val="24"/>
          <w:lang w:eastAsia="zh-CN"/>
        </w:rPr>
        <w:t>– 6 March,</w:t>
      </w:r>
      <w:r>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62423855"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5046B">
        <w:rPr>
          <w:rFonts w:ascii="Arial" w:hAnsi="Arial"/>
          <w:sz w:val="24"/>
          <w:lang w:val="en-US"/>
        </w:rPr>
        <w:t>8.</w:t>
      </w:r>
      <w:r w:rsidR="009963FF">
        <w:rPr>
          <w:rFonts w:ascii="Arial" w:hAnsi="Arial"/>
          <w:sz w:val="24"/>
          <w:lang w:val="en-US"/>
        </w:rPr>
        <w:t>8.2.</w:t>
      </w:r>
      <w:r w:rsidR="00E63D15">
        <w:rPr>
          <w:rFonts w:ascii="Arial" w:hAnsi="Arial"/>
          <w:sz w:val="24"/>
          <w:lang w:val="en-US"/>
        </w:rPr>
        <w:t>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2B87B195"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E63D15">
        <w:rPr>
          <w:rFonts w:ascii="Arial" w:hAnsi="Arial"/>
          <w:sz w:val="24"/>
          <w:lang w:val="en-US"/>
        </w:rPr>
        <w:t>On gNB requirements for NR positioning</w:t>
      </w:r>
      <w:r w:rsidR="002132B5">
        <w:rPr>
          <w:rFonts w:ascii="Arial" w:hAnsi="Arial"/>
          <w:sz w:val="24"/>
          <w:lang w:val="en-US"/>
        </w:rPr>
        <w:t xml:space="preserve"> </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10D646FE" w:rsidR="003A3520" w:rsidRDefault="009046D1" w:rsidP="00017422">
      <w:pPr>
        <w:pStyle w:val="Heading1"/>
        <w:rPr>
          <w:lang w:val="en-US"/>
        </w:rPr>
      </w:pPr>
      <w:r>
        <w:rPr>
          <w:lang w:val="en-US"/>
        </w:rPr>
        <w:t>Introduction</w:t>
      </w:r>
    </w:p>
    <w:p w14:paraId="076E31FA" w14:textId="62357BB1" w:rsidR="00C63FBE" w:rsidRPr="00C63FBE" w:rsidRDefault="00A44256" w:rsidP="00C63FBE">
      <w:pPr>
        <w:rPr>
          <w:lang w:val="en-US"/>
        </w:rPr>
      </w:pPr>
      <w:r>
        <w:rPr>
          <w:lang w:val="en-US"/>
        </w:rPr>
        <w:t xml:space="preserve">In RAN4#93 meeting, a WF on NR positioning was agreed [1] with the following captured for gNB measurements: </w:t>
      </w:r>
    </w:p>
    <w:p w14:paraId="56AE1AC0" w14:textId="791F9076" w:rsidR="002B4761" w:rsidRDefault="00801E3B" w:rsidP="00804DAC">
      <w:pPr>
        <w:rPr>
          <w:lang w:val="en-US"/>
        </w:rPr>
      </w:pPr>
      <w:r w:rsidRPr="0074147F">
        <w:rPr>
          <w:noProof/>
          <w:lang w:val="en-US" w:eastAsia="zh-CN"/>
        </w:rPr>
        <mc:AlternateContent>
          <mc:Choice Requires="wps">
            <w:drawing>
              <wp:inline distT="0" distB="0" distL="0" distR="0" wp14:anchorId="47FEDC19" wp14:editId="0856F79F">
                <wp:extent cx="5881420" cy="3295650"/>
                <wp:effectExtent l="0" t="0" r="24130" b="1905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3295650"/>
                        </a:xfrm>
                        <a:prstGeom prst="rect">
                          <a:avLst/>
                        </a:prstGeom>
                        <a:solidFill>
                          <a:srgbClr val="FFFFFF"/>
                        </a:solidFill>
                        <a:ln w="9525">
                          <a:solidFill>
                            <a:srgbClr val="000000"/>
                          </a:solidFill>
                          <a:miter lim="800000"/>
                          <a:headEnd/>
                          <a:tailEnd/>
                        </a:ln>
                      </wps:spPr>
                      <wps:txbx>
                        <w:txbxContent>
                          <w:p w14:paraId="69C7430A" w14:textId="109C4F55" w:rsidR="001A6DEA" w:rsidRDefault="005217F3" w:rsidP="000001EA">
                            <w:pPr>
                              <w:jc w:val="center"/>
                              <w:rPr>
                                <w:rFonts w:eastAsia="Batang"/>
                                <w:b/>
                                <w:bCs/>
                                <w:lang w:eastAsia="zh-CN"/>
                              </w:rPr>
                            </w:pPr>
                            <w:r w:rsidRPr="005217F3">
                              <w:rPr>
                                <w:rFonts w:eastAsia="Batang"/>
                                <w:b/>
                                <w:bCs/>
                                <w:lang w:eastAsia="zh-CN"/>
                              </w:rPr>
                              <w:t>gNB measurements</w:t>
                            </w:r>
                          </w:p>
                          <w:p w14:paraId="16FE856A" w14:textId="77777777" w:rsidR="000001EA" w:rsidRPr="000001EA" w:rsidRDefault="000001EA" w:rsidP="000001EA">
                            <w:pPr>
                              <w:numPr>
                                <w:ilvl w:val="0"/>
                                <w:numId w:val="38"/>
                              </w:numPr>
                              <w:tabs>
                                <w:tab w:val="num" w:pos="720"/>
                              </w:tabs>
                              <w:rPr>
                                <w:rFonts w:eastAsia="Batang"/>
                                <w:b/>
                                <w:lang w:val="en-US" w:eastAsia="zh-CN"/>
                              </w:rPr>
                            </w:pPr>
                            <w:r w:rsidRPr="000001EA">
                              <w:rPr>
                                <w:rFonts w:eastAsia="Batang"/>
                                <w:b/>
                                <w:lang w:eastAsia="zh-CN"/>
                              </w:rPr>
                              <w:t>Agreements:</w:t>
                            </w:r>
                          </w:p>
                          <w:p w14:paraId="3D50E722" w14:textId="77777777" w:rsidR="000001EA" w:rsidRPr="000001EA" w:rsidRDefault="000001EA" w:rsidP="000001EA">
                            <w:pPr>
                              <w:numPr>
                                <w:ilvl w:val="1"/>
                                <w:numId w:val="38"/>
                              </w:numPr>
                              <w:tabs>
                                <w:tab w:val="num" w:pos="1440"/>
                              </w:tabs>
                              <w:rPr>
                                <w:rFonts w:eastAsia="Batang"/>
                                <w:b/>
                                <w:lang w:val="en-US" w:eastAsia="zh-CN"/>
                              </w:rPr>
                            </w:pPr>
                            <w:r w:rsidRPr="000001EA">
                              <w:rPr>
                                <w:rFonts w:eastAsia="Batang"/>
                                <w:b/>
                                <w:lang w:eastAsia="zh-CN"/>
                              </w:rPr>
                              <w:t>Option 1: Define gNB measurement accuracy requirements for gNB measurement types in the Perf part</w:t>
                            </w:r>
                          </w:p>
                          <w:p w14:paraId="63BFE2F5"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Rx-Tx timing difference</w:t>
                            </w:r>
                          </w:p>
                          <w:p w14:paraId="5372C883"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UL SRS-RSRP measurements</w:t>
                            </w:r>
                          </w:p>
                          <w:p w14:paraId="75833EED" w14:textId="77777777" w:rsidR="000001EA" w:rsidRPr="000001EA" w:rsidRDefault="000001EA" w:rsidP="000001EA">
                            <w:pPr>
                              <w:numPr>
                                <w:ilvl w:val="1"/>
                                <w:numId w:val="38"/>
                              </w:numPr>
                              <w:tabs>
                                <w:tab w:val="num" w:pos="1440"/>
                              </w:tabs>
                              <w:rPr>
                                <w:rFonts w:eastAsia="Batang"/>
                                <w:b/>
                                <w:lang w:val="en-US" w:eastAsia="zh-CN"/>
                              </w:rPr>
                            </w:pPr>
                            <w:r w:rsidRPr="000001EA">
                              <w:rPr>
                                <w:rFonts w:eastAsia="Batang"/>
                                <w:b/>
                                <w:lang w:eastAsia="zh-CN"/>
                              </w:rPr>
                              <w:t>Option 2: Define gNB measurement accuracy requirements for gNB measurement types in the Perf part</w:t>
                            </w:r>
                          </w:p>
                          <w:p w14:paraId="4711F52C"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Rx-Tx timing difference</w:t>
                            </w:r>
                          </w:p>
                          <w:p w14:paraId="16F76231"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UL SRS-RSRP measurements</w:t>
                            </w:r>
                          </w:p>
                          <w:p w14:paraId="2B7EB709"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 xml:space="preserve">AoA / ZoA measurements </w:t>
                            </w:r>
                          </w:p>
                          <w:p w14:paraId="3740A7D1"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UL RTOA measurements</w:t>
                            </w:r>
                          </w:p>
                          <w:p w14:paraId="4672C4B5" w14:textId="77777777" w:rsidR="000001EA" w:rsidRPr="000001EA" w:rsidRDefault="000001EA" w:rsidP="000001EA">
                            <w:pPr>
                              <w:numPr>
                                <w:ilvl w:val="1"/>
                                <w:numId w:val="38"/>
                              </w:numPr>
                              <w:tabs>
                                <w:tab w:val="num" w:pos="1440"/>
                              </w:tabs>
                              <w:rPr>
                                <w:rFonts w:eastAsia="Batang"/>
                                <w:b/>
                                <w:lang w:val="en-US" w:eastAsia="zh-CN"/>
                              </w:rPr>
                            </w:pPr>
                            <w:r w:rsidRPr="000001EA">
                              <w:rPr>
                                <w:rFonts w:eastAsia="Batang"/>
                                <w:b/>
                                <w:lang w:eastAsia="zh-CN"/>
                              </w:rPr>
                              <w:t xml:space="preserve">Option 3: Do not define gNB requirements </w:t>
                            </w:r>
                          </w:p>
                          <w:p w14:paraId="579C2AA9" w14:textId="77777777" w:rsidR="000001EA" w:rsidRPr="009C5EB9" w:rsidRDefault="000001EA" w:rsidP="00801E3B">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47FEDC19" id="_x0000_t202" coordsize="21600,21600" o:spt="202" path="m,l,21600r21600,l21600,xe">
                <v:stroke joinstyle="miter"/>
                <v:path gradientshapeok="t" o:connecttype="rect"/>
              </v:shapetype>
              <v:shape id="Text Box 1" o:spid="_x0000_s1026" type="#_x0000_t202" style="width:463.1pt;height:25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">
                <v:textbox>
                  <w:txbxContent>
                    <w:p w14:paraId="69C7430A" w14:textId="109C4F55" w:rsidR="001A6DEA" w:rsidRDefault="005217F3" w:rsidP="000001EA">
                      <w:pPr>
                        <w:jc w:val="center"/>
                        <w:rPr>
                          <w:rFonts w:eastAsia="Batang"/>
                          <w:b/>
                          <w:bCs/>
                          <w:lang w:eastAsia="zh-CN"/>
                        </w:rPr>
                      </w:pPr>
                      <w:r w:rsidRPr="005217F3">
                        <w:rPr>
                          <w:rFonts w:eastAsia="Batang"/>
                          <w:b/>
                          <w:bCs/>
                          <w:lang w:eastAsia="zh-CN"/>
                        </w:rPr>
                        <w:t>gNB measurements</w:t>
                      </w:r>
                    </w:p>
                    <w:p w14:paraId="16FE856A" w14:textId="77777777" w:rsidR="000001EA" w:rsidRPr="000001EA" w:rsidRDefault="000001EA" w:rsidP="000001EA">
                      <w:pPr>
                        <w:numPr>
                          <w:ilvl w:val="0"/>
                          <w:numId w:val="38"/>
                        </w:numPr>
                        <w:tabs>
                          <w:tab w:val="num" w:pos="720"/>
                        </w:tabs>
                        <w:rPr>
                          <w:rFonts w:eastAsia="Batang"/>
                          <w:b/>
                          <w:lang w:val="en-US" w:eastAsia="zh-CN"/>
                        </w:rPr>
                      </w:pPr>
                      <w:r w:rsidRPr="000001EA">
                        <w:rPr>
                          <w:rFonts w:eastAsia="Batang"/>
                          <w:b/>
                          <w:lang w:eastAsia="zh-CN"/>
                        </w:rPr>
                        <w:t>Agreements:</w:t>
                      </w:r>
                    </w:p>
                    <w:p w14:paraId="3D50E722" w14:textId="77777777" w:rsidR="000001EA" w:rsidRPr="000001EA" w:rsidRDefault="000001EA" w:rsidP="000001EA">
                      <w:pPr>
                        <w:numPr>
                          <w:ilvl w:val="1"/>
                          <w:numId w:val="38"/>
                        </w:numPr>
                        <w:tabs>
                          <w:tab w:val="num" w:pos="1440"/>
                        </w:tabs>
                        <w:rPr>
                          <w:rFonts w:eastAsia="Batang"/>
                          <w:b/>
                          <w:lang w:val="en-US" w:eastAsia="zh-CN"/>
                        </w:rPr>
                      </w:pPr>
                      <w:r w:rsidRPr="000001EA">
                        <w:rPr>
                          <w:rFonts w:eastAsia="Batang"/>
                          <w:b/>
                          <w:lang w:eastAsia="zh-CN"/>
                        </w:rPr>
                        <w:t>Option 1: Define gNB measurement accuracy requirements for gNB measurement types in the Perf part</w:t>
                      </w:r>
                    </w:p>
                    <w:p w14:paraId="63BFE2F5"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Rx-Tx timing difference</w:t>
                      </w:r>
                    </w:p>
                    <w:p w14:paraId="5372C883"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UL SRS-RSRP measurements</w:t>
                      </w:r>
                    </w:p>
                    <w:p w14:paraId="75833EED" w14:textId="77777777" w:rsidR="000001EA" w:rsidRPr="000001EA" w:rsidRDefault="000001EA" w:rsidP="000001EA">
                      <w:pPr>
                        <w:numPr>
                          <w:ilvl w:val="1"/>
                          <w:numId w:val="38"/>
                        </w:numPr>
                        <w:tabs>
                          <w:tab w:val="num" w:pos="1440"/>
                        </w:tabs>
                        <w:rPr>
                          <w:rFonts w:eastAsia="Batang"/>
                          <w:b/>
                          <w:lang w:val="en-US" w:eastAsia="zh-CN"/>
                        </w:rPr>
                      </w:pPr>
                      <w:r w:rsidRPr="000001EA">
                        <w:rPr>
                          <w:rFonts w:eastAsia="Batang"/>
                          <w:b/>
                          <w:lang w:eastAsia="zh-CN"/>
                        </w:rPr>
                        <w:t>Option 2: Define gNB measurement accuracy requirements for gNB measurement types in the Perf part</w:t>
                      </w:r>
                    </w:p>
                    <w:p w14:paraId="4711F52C"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Rx-Tx timing difference</w:t>
                      </w:r>
                    </w:p>
                    <w:p w14:paraId="16F76231"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UL SRS-RSRP measurements</w:t>
                      </w:r>
                    </w:p>
                    <w:p w14:paraId="2B7EB709"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 xml:space="preserve">AoA / ZoA measurements </w:t>
                      </w:r>
                    </w:p>
                    <w:p w14:paraId="3740A7D1" w14:textId="77777777" w:rsidR="000001EA" w:rsidRPr="000001EA" w:rsidRDefault="000001EA" w:rsidP="000001EA">
                      <w:pPr>
                        <w:numPr>
                          <w:ilvl w:val="2"/>
                          <w:numId w:val="38"/>
                        </w:numPr>
                        <w:tabs>
                          <w:tab w:val="num" w:pos="2160"/>
                        </w:tabs>
                        <w:rPr>
                          <w:rFonts w:eastAsia="Batang"/>
                          <w:b/>
                          <w:lang w:val="en-US" w:eastAsia="zh-CN"/>
                        </w:rPr>
                      </w:pPr>
                      <w:r w:rsidRPr="000001EA">
                        <w:rPr>
                          <w:rFonts w:eastAsia="Batang"/>
                          <w:b/>
                          <w:lang w:val="en-US" w:eastAsia="zh-CN"/>
                        </w:rPr>
                        <w:t>UL RTOA measurements</w:t>
                      </w:r>
                    </w:p>
                    <w:p w14:paraId="4672C4B5" w14:textId="77777777" w:rsidR="000001EA" w:rsidRPr="000001EA" w:rsidRDefault="000001EA" w:rsidP="000001EA">
                      <w:pPr>
                        <w:numPr>
                          <w:ilvl w:val="1"/>
                          <w:numId w:val="38"/>
                        </w:numPr>
                        <w:tabs>
                          <w:tab w:val="num" w:pos="1440"/>
                        </w:tabs>
                        <w:rPr>
                          <w:rFonts w:eastAsia="Batang"/>
                          <w:b/>
                          <w:lang w:val="en-US" w:eastAsia="zh-CN"/>
                        </w:rPr>
                      </w:pPr>
                      <w:r w:rsidRPr="000001EA">
                        <w:rPr>
                          <w:rFonts w:eastAsia="Batang"/>
                          <w:b/>
                          <w:lang w:eastAsia="zh-CN"/>
                        </w:rPr>
                        <w:t xml:space="preserve">Option 3: Do not define gNB requirements </w:t>
                      </w:r>
                    </w:p>
                    <w:p w14:paraId="579C2AA9" w14:textId="77777777" w:rsidR="000001EA" w:rsidRPr="009C5EB9" w:rsidRDefault="000001EA" w:rsidP="00801E3B">
                      <w:pPr>
                        <w:rPr>
                          <w:rFonts w:eastAsia="Batang"/>
                          <w:b/>
                          <w:lang w:eastAsia="zh-CN"/>
                        </w:rPr>
                      </w:pPr>
                    </w:p>
                  </w:txbxContent>
                </v:textbox>
                <w10:anchorlock/>
              </v:shape>
            </w:pict>
          </mc:Fallback>
        </mc:AlternateContent>
      </w:r>
    </w:p>
    <w:p w14:paraId="4AF5EE5C" w14:textId="5910EA5E" w:rsidR="00A86982" w:rsidRPr="00804DAC" w:rsidRDefault="00A86982" w:rsidP="00804DAC">
      <w:pPr>
        <w:rPr>
          <w:lang w:val="en-US"/>
        </w:rPr>
      </w:pPr>
      <w:r>
        <w:rPr>
          <w:lang w:val="en-US"/>
        </w:rPr>
        <w:t>In this paper, we present our views on the options listed above.</w:t>
      </w:r>
    </w:p>
    <w:p w14:paraId="2D0D5189" w14:textId="315394CE" w:rsidR="00C51EC1" w:rsidRDefault="00EB52C7" w:rsidP="00C51EC1">
      <w:pPr>
        <w:pStyle w:val="Heading1"/>
        <w:rPr>
          <w:lang w:val="en-US"/>
        </w:rPr>
      </w:pPr>
      <w:r>
        <w:rPr>
          <w:lang w:val="en-US"/>
        </w:rPr>
        <w:t>Discussion</w:t>
      </w:r>
    </w:p>
    <w:p w14:paraId="6E806093" w14:textId="7953E440" w:rsidR="00CE3D83" w:rsidRDefault="00AE6C94" w:rsidP="00CE3D83">
      <w:pPr>
        <w:rPr>
          <w:lang w:val="en-US"/>
        </w:rPr>
      </w:pPr>
      <w:r>
        <w:rPr>
          <w:lang w:val="en-US"/>
        </w:rPr>
        <w:t xml:space="preserve">In [2], we presented our views on the need for gNB Rx-Tx time difference </w:t>
      </w:r>
      <w:r w:rsidR="00D773E5">
        <w:rPr>
          <w:lang w:val="en-US"/>
        </w:rPr>
        <w:t>performance requirements</w:t>
      </w:r>
      <w:r w:rsidR="00817789">
        <w:rPr>
          <w:lang w:val="en-US"/>
        </w:rPr>
        <w:t xml:space="preserve"> particularly for multi-RTT positioning method.</w:t>
      </w:r>
    </w:p>
    <w:p w14:paraId="7A8D3287" w14:textId="0AD135C0" w:rsidR="00817789" w:rsidRDefault="00817789" w:rsidP="00817789">
      <w:r>
        <w:t xml:space="preserve">RTT relies on UE Rx-Tx and gNB Rx-Tx measurements to estimate the distance of UE from each gNB. More precisely, the distance </w:t>
      </w:r>
      <m:oMath>
        <m:r>
          <w:rPr>
            <w:rFonts w:ascii="Cambria Math" w:hAnsi="Cambria Math"/>
          </w:rPr>
          <m:t>D</m:t>
        </m:r>
      </m:oMath>
      <w:r>
        <w:t xml:space="preserve"> can be estimated as:</w:t>
      </w:r>
    </w:p>
    <w:p w14:paraId="15D8549D" w14:textId="77777777" w:rsidR="00817789" w:rsidRPr="00D5201A" w:rsidRDefault="00724F14" w:rsidP="00817789">
      <m:oMathPara>
        <m:oMath>
          <m:f>
            <m:fPr>
              <m:ctrlPr>
                <w:rPr>
                  <w:rFonts w:ascii="Cambria Math" w:hAnsi="Cambria Math"/>
                  <w:i/>
                </w:rPr>
              </m:ctrlPr>
            </m:fPr>
            <m:num>
              <m:r>
                <w:rPr>
                  <w:rFonts w:ascii="Cambria Math" w:hAnsi="Cambria Math"/>
                </w:rPr>
                <m:t>2D</m:t>
              </m:r>
            </m:num>
            <m:den>
              <m:r>
                <w:rPr>
                  <w:rFonts w:ascii="Cambria Math" w:hAnsi="Cambria Math"/>
                </w:rPr>
                <m:t>c</m:t>
              </m:r>
            </m:den>
          </m:f>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Rx-Tx</m:t>
                  </m:r>
                </m:e>
              </m:d>
            </m:e>
            <m:sub>
              <m:r>
                <w:rPr>
                  <w:rFonts w:ascii="Cambria Math" w:hAnsi="Cambria Math"/>
                </w:rPr>
                <m:t>UE</m:t>
              </m:r>
            </m:sub>
          </m:sSub>
          <m:r>
            <w:rPr>
              <w:rFonts w:ascii="Cambria Math" w:hAnsi="Cambria Math"/>
            </w:rPr>
            <m:t>+</m:t>
          </m:r>
          <m:sSub>
            <m:sSubPr>
              <m:ctrlPr>
                <w:rPr>
                  <w:rFonts w:ascii="Cambria Math" w:hAnsi="Cambria Math"/>
                  <w:i/>
                </w:rPr>
              </m:ctrlPr>
            </m:sSubPr>
            <m:e>
              <m:d>
                <m:dPr>
                  <m:ctrlPr>
                    <w:rPr>
                      <w:rFonts w:ascii="Cambria Math" w:hAnsi="Cambria Math"/>
                      <w:i/>
                    </w:rPr>
                  </m:ctrlPr>
                </m:dPr>
                <m:e>
                  <m:r>
                    <w:rPr>
                      <w:rFonts w:ascii="Cambria Math" w:hAnsi="Cambria Math"/>
                    </w:rPr>
                    <m:t>Rx-Tx</m:t>
                  </m:r>
                </m:e>
              </m:d>
            </m:e>
            <m:sub>
              <m:r>
                <w:rPr>
                  <w:rFonts w:ascii="Cambria Math" w:hAnsi="Cambria Math"/>
                </w:rPr>
                <m:t>gNB</m:t>
              </m:r>
            </m:sub>
          </m:sSub>
        </m:oMath>
      </m:oMathPara>
    </w:p>
    <w:p w14:paraId="2732D058" w14:textId="3D38F950" w:rsidR="00817789" w:rsidRDefault="00817789" w:rsidP="00817789">
      <w:r>
        <w:t xml:space="preserve">where </w:t>
      </w:r>
      <m:oMath>
        <m:r>
          <w:rPr>
            <w:rFonts w:ascii="Cambria Math" w:hAnsi="Cambria Math"/>
          </w:rPr>
          <m:t>c</m:t>
        </m:r>
      </m:oMath>
      <w:r>
        <w:t xml:space="preserve"> is the speed of light. RTT measurements from multiple cells can be used in triangulation to estimate the UE position (Figure 1, left). Alternatively, a single gNB RTT measurement can be augmented by another measurement such as AoD to fix the position (Figure 1, right).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1"/>
        <w:gridCol w:w="4781"/>
      </w:tblGrid>
      <w:tr w:rsidR="00817789" w14:paraId="79ECDC6A" w14:textId="77777777" w:rsidTr="00BA1FDA">
        <w:tc>
          <w:tcPr>
            <w:tcW w:w="4781" w:type="dxa"/>
          </w:tcPr>
          <w:p w14:paraId="636F9A7B" w14:textId="77777777" w:rsidR="00817789" w:rsidRDefault="00817789" w:rsidP="00BA1FDA">
            <w:r w:rsidRPr="00D5201A">
              <w:rPr>
                <w:lang w:val="en-US"/>
              </w:rPr>
              <w:object w:dxaOrig="3574" w:dyaOrig="2556" w14:anchorId="1CFF26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95pt;height:139pt" o:ole="">
                  <v:imagedata r:id="rId8" o:title=""/>
                </v:shape>
                <o:OLEObject Type="Embed" ProgID="Visio.Drawing.11" ShapeID="_x0000_i1025" DrawAspect="Content" ObjectID="_1643127086" r:id="rId9"/>
              </w:object>
            </w:r>
          </w:p>
        </w:tc>
        <w:tc>
          <w:tcPr>
            <w:tcW w:w="4781" w:type="dxa"/>
          </w:tcPr>
          <w:p w14:paraId="4B864AB5" w14:textId="77777777" w:rsidR="00817789" w:rsidRDefault="00817789" w:rsidP="00BA1FDA">
            <w:pPr>
              <w:keepNext/>
            </w:pPr>
            <w:r w:rsidRPr="00D5201A">
              <w:rPr>
                <w:lang w:val="en-US"/>
              </w:rPr>
              <w:object w:dxaOrig="3569" w:dyaOrig="2227" w14:anchorId="037354E9">
                <v:shape id="_x0000_i1026" type="#_x0000_t75" style="width:228.5pt;height:142.75pt" o:ole="">
                  <v:imagedata r:id="rId10" o:title=""/>
                </v:shape>
                <o:OLEObject Type="Embed" ProgID="Visio.Drawing.11" ShapeID="_x0000_i1026" DrawAspect="Content" ObjectID="_1643127087" r:id="rId11"/>
              </w:object>
            </w:r>
          </w:p>
        </w:tc>
      </w:tr>
    </w:tbl>
    <w:p w14:paraId="0ED0C679" w14:textId="0D94D70E" w:rsidR="00817789" w:rsidRDefault="00817789" w:rsidP="00817789">
      <w:pPr>
        <w:pStyle w:val="Caption"/>
        <w:jc w:val="center"/>
      </w:pPr>
      <w:r>
        <w:t>Figure 1 Multi-RTT (left) and single-RTT (right) positioning</w:t>
      </w:r>
    </w:p>
    <w:p w14:paraId="7A5ABC16" w14:textId="77777777" w:rsidR="00817789" w:rsidRPr="00C10071" w:rsidRDefault="00817789" w:rsidP="00817789">
      <w:pPr>
        <w:rPr>
          <w:lang w:val="en-US"/>
        </w:rPr>
      </w:pPr>
    </w:p>
    <w:p w14:paraId="05EE97AD" w14:textId="19E63405" w:rsidR="00817789" w:rsidRDefault="00817789" w:rsidP="00817789">
      <w:r>
        <w:t>In contrast to TDOA-based methods, RTT-based positioning does not require very tight synchronization among cells. However, calibration error and group delay variation in both UE and gNB are main sources of impediments. Figure 2 illustrates the group delay terms on the Rx and Tx path of both UE and gNB that contribute to RTT measurement inaccuracy.</w:t>
      </w:r>
    </w:p>
    <w:p w14:paraId="2D3D68BE" w14:textId="77777777" w:rsidR="00817789" w:rsidRDefault="00817789" w:rsidP="00817789"/>
    <w:p w14:paraId="27E810E6" w14:textId="77777777" w:rsidR="00817789" w:rsidRDefault="00817789" w:rsidP="00817789">
      <w:pPr>
        <w:keepNext/>
        <w:jc w:val="center"/>
      </w:pPr>
      <w:r w:rsidRPr="003B3E1B">
        <w:rPr>
          <w:noProof/>
        </w:rPr>
        <w:drawing>
          <wp:inline distT="0" distB="0" distL="0" distR="0" wp14:anchorId="7C9CFBAA" wp14:editId="2D6FA2F8">
            <wp:extent cx="3692106" cy="1941326"/>
            <wp:effectExtent l="0" t="0" r="3810" b="190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706411" cy="1948848"/>
                    </a:xfrm>
                    <a:prstGeom prst="rect">
                      <a:avLst/>
                    </a:prstGeom>
                    <a:noFill/>
                    <a:ln>
                      <a:noFill/>
                    </a:ln>
                  </pic:spPr>
                </pic:pic>
              </a:graphicData>
            </a:graphic>
          </wp:inline>
        </w:drawing>
      </w:r>
    </w:p>
    <w:p w14:paraId="0CDD1329" w14:textId="03C26ED6" w:rsidR="00817789" w:rsidRDefault="00817789" w:rsidP="00817789">
      <w:pPr>
        <w:pStyle w:val="Caption"/>
        <w:jc w:val="center"/>
      </w:pPr>
      <w:r>
        <w:t>Figure 2 Calibration error and group delay variation in RTT</w:t>
      </w:r>
    </w:p>
    <w:p w14:paraId="1834C9F0" w14:textId="0C84499C" w:rsidR="00817789" w:rsidRDefault="00817789" w:rsidP="00817789">
      <w:r>
        <w:t>The accuracy of an RTT measurement is impacted by calibration errors in gNB Rx and Tx paths (</w:t>
      </w:r>
      <m:oMath>
        <m:sSub>
          <m:sSubPr>
            <m:ctrlPr>
              <w:rPr>
                <w:rFonts w:ascii="Cambria Math" w:hAnsi="Cambria Math"/>
                <w:i/>
              </w:rPr>
            </m:ctrlPr>
          </m:sSubPr>
          <m:e>
            <m:r>
              <w:rPr>
                <w:rFonts w:ascii="Cambria Math" w:hAnsi="Cambria Math"/>
              </w:rPr>
              <m:t>∆</m:t>
            </m:r>
          </m:e>
          <m:sub>
            <m:r>
              <w:rPr>
                <w:rFonts w:ascii="Cambria Math" w:hAnsi="Cambria Math"/>
              </w:rPr>
              <m:t>Tx,gNB</m:t>
            </m:r>
          </m:sub>
        </m:sSub>
      </m:oMath>
      <w:r>
        <w:t xml:space="preserve"> and </w:t>
      </w:r>
      <m:oMath>
        <m:sSub>
          <m:sSubPr>
            <m:ctrlPr>
              <w:rPr>
                <w:rFonts w:ascii="Cambria Math" w:hAnsi="Cambria Math"/>
                <w:i/>
              </w:rPr>
            </m:ctrlPr>
          </m:sSubPr>
          <m:e>
            <m:r>
              <w:rPr>
                <w:rFonts w:ascii="Cambria Math" w:hAnsi="Cambria Math"/>
              </w:rPr>
              <m:t>∆</m:t>
            </m:r>
          </m:e>
          <m:sub>
            <m:r>
              <w:rPr>
                <w:rFonts w:ascii="Cambria Math" w:hAnsi="Cambria Math"/>
              </w:rPr>
              <m:t>Rx,gNB</m:t>
            </m:r>
          </m:sub>
        </m:sSub>
      </m:oMath>
      <w:r>
        <w:t>) and calibration errors in UE Rx and Tx path (</w:t>
      </w:r>
      <m:oMath>
        <m:sSub>
          <m:sSubPr>
            <m:ctrlPr>
              <w:rPr>
                <w:rFonts w:ascii="Cambria Math" w:hAnsi="Cambria Math"/>
                <w:i/>
              </w:rPr>
            </m:ctrlPr>
          </m:sSubPr>
          <m:e>
            <m:r>
              <w:rPr>
                <w:rFonts w:ascii="Cambria Math" w:hAnsi="Cambria Math"/>
              </w:rPr>
              <m:t>∆</m:t>
            </m:r>
          </m:e>
          <m:sub>
            <m:r>
              <w:rPr>
                <w:rFonts w:ascii="Cambria Math" w:hAnsi="Cambria Math"/>
              </w:rPr>
              <m:t>Tx,UE</m:t>
            </m:r>
          </m:sub>
        </m:sSub>
      </m:oMath>
      <w:r>
        <w:t xml:space="preserve"> and </w:t>
      </w:r>
      <m:oMath>
        <m:sSub>
          <m:sSubPr>
            <m:ctrlPr>
              <w:rPr>
                <w:rFonts w:ascii="Cambria Math" w:hAnsi="Cambria Math"/>
                <w:i/>
              </w:rPr>
            </m:ctrlPr>
          </m:sSubPr>
          <m:e>
            <m:r>
              <w:rPr>
                <w:rFonts w:ascii="Cambria Math" w:hAnsi="Cambria Math"/>
              </w:rPr>
              <m:t>∆</m:t>
            </m:r>
          </m:e>
          <m:sub>
            <m:r>
              <w:rPr>
                <w:rFonts w:ascii="Cambria Math" w:hAnsi="Cambria Math"/>
              </w:rPr>
              <m:t>Rx,UE</m:t>
            </m:r>
          </m:sub>
        </m:sSub>
      </m:oMath>
      <w:r>
        <w:t xml:space="preserve">). In multi-RTT, a main part of the UE group delay can be cancelled through differential computation. Figure </w:t>
      </w:r>
      <w:r w:rsidR="00AD2118">
        <w:t>3</w:t>
      </w:r>
      <w:r>
        <w:t xml:space="preserve"> illustrates this concept wherein </w:t>
      </w:r>
      <m:oMath>
        <m:r>
          <w:rPr>
            <w:rFonts w:ascii="Cambria Math" w:hAnsi="Cambria Math"/>
          </w:rPr>
          <m:t>RT</m:t>
        </m:r>
        <m:sSub>
          <m:sSubPr>
            <m:ctrlPr>
              <w:rPr>
                <w:rFonts w:ascii="Cambria Math" w:hAnsi="Cambria Math"/>
                <w:i/>
              </w:rPr>
            </m:ctrlPr>
          </m:sSubPr>
          <m:e>
            <m:r>
              <w:rPr>
                <w:rFonts w:ascii="Cambria Math" w:hAnsi="Cambria Math"/>
              </w:rPr>
              <m:t>T</m:t>
            </m:r>
          </m:e>
          <m:sub>
            <m:r>
              <w:rPr>
                <w:rFonts w:ascii="Cambria Math" w:hAnsi="Cambria Math"/>
              </w:rPr>
              <m:t>i</m:t>
            </m:r>
          </m:sub>
        </m:sSub>
      </m:oMath>
      <w:r>
        <w:t xml:space="preserve"> is the real RTT with respect to i-th gNB, </w:t>
      </w:r>
      <m:oMath>
        <m:sSub>
          <m:sSubPr>
            <m:ctrlPr>
              <w:rPr>
                <w:rFonts w:ascii="Cambria Math" w:hAnsi="Cambria Math"/>
                <w:i/>
              </w:rPr>
            </m:ctrlPr>
          </m:sSubPr>
          <m:e>
            <m:r>
              <w:rPr>
                <w:rFonts w:ascii="Cambria Math" w:hAnsi="Cambria Math"/>
              </w:rPr>
              <m:t>D</m:t>
            </m:r>
          </m:e>
          <m:sub>
            <m:r>
              <w:rPr>
                <w:rFonts w:ascii="Cambria Math" w:hAnsi="Cambria Math"/>
              </w:rPr>
              <m:t xml:space="preserve">UE,common </m:t>
            </m:r>
          </m:sub>
        </m:sSub>
      </m:oMath>
      <w:r>
        <w:t xml:space="preserve">is the group delay component common to all RTTs, </w:t>
      </w:r>
      <m:oMath>
        <m:sSub>
          <m:sSubPr>
            <m:ctrlPr>
              <w:rPr>
                <w:rFonts w:ascii="Cambria Math" w:hAnsi="Cambria Math"/>
                <w:i/>
              </w:rPr>
            </m:ctrlPr>
          </m:sSubPr>
          <m:e>
            <m:r>
              <w:rPr>
                <w:rFonts w:ascii="Cambria Math" w:hAnsi="Cambria Math"/>
              </w:rPr>
              <m:t>D</m:t>
            </m:r>
          </m:e>
          <m:sub>
            <m:r>
              <w:rPr>
                <w:rFonts w:ascii="Cambria Math" w:hAnsi="Cambria Math"/>
              </w:rPr>
              <m:t>UE,i</m:t>
            </m:r>
          </m:sub>
        </m:sSub>
      </m:oMath>
      <w:r>
        <w:t xml:space="preserve"> is the group delay error term specific to i-th RTT, and </w:t>
      </w:r>
      <m:oMath>
        <m:sSub>
          <m:sSubPr>
            <m:ctrlPr>
              <w:rPr>
                <w:rFonts w:ascii="Cambria Math" w:hAnsi="Cambria Math"/>
                <w:i/>
              </w:rPr>
            </m:ctrlPr>
          </m:sSubPr>
          <m:e>
            <m:r>
              <w:rPr>
                <w:rFonts w:ascii="Cambria Math" w:hAnsi="Cambria Math"/>
              </w:rPr>
              <m:t>∆</m:t>
            </m:r>
          </m:e>
          <m:sub>
            <m:r>
              <w:rPr>
                <w:rFonts w:ascii="Cambria Math" w:hAnsi="Cambria Math"/>
              </w:rPr>
              <m:t>gNB,i</m:t>
            </m:r>
          </m:sub>
        </m:sSub>
      </m:oMath>
      <w:r>
        <w:t xml:space="preserve"> is the group delay error for i-th gNB. In differential computation, the term </w:t>
      </w:r>
      <m:oMath>
        <m:sSub>
          <m:sSubPr>
            <m:ctrlPr>
              <w:rPr>
                <w:rFonts w:ascii="Cambria Math" w:hAnsi="Cambria Math"/>
                <w:i/>
              </w:rPr>
            </m:ctrlPr>
          </m:sSubPr>
          <m:e>
            <m:r>
              <w:rPr>
                <w:rFonts w:ascii="Cambria Math" w:hAnsi="Cambria Math"/>
              </w:rPr>
              <m:t>D</m:t>
            </m:r>
          </m:e>
          <m:sub>
            <m:r>
              <w:rPr>
                <w:rFonts w:ascii="Cambria Math" w:hAnsi="Cambria Math"/>
              </w:rPr>
              <m:t xml:space="preserve">UE,common </m:t>
            </m:r>
          </m:sub>
        </m:sSub>
      </m:oMath>
      <w:r>
        <w:t xml:space="preserve">can be eliminated leaving more budget for other terms. </w:t>
      </w:r>
    </w:p>
    <w:p w14:paraId="3C33BEF3" w14:textId="77777777" w:rsidR="00817789" w:rsidRDefault="00817789" w:rsidP="00817789"/>
    <w:p w14:paraId="2831440D" w14:textId="77777777" w:rsidR="00817789" w:rsidRDefault="00817789" w:rsidP="00817789">
      <w:pPr>
        <w:keepNext/>
        <w:jc w:val="center"/>
      </w:pPr>
      <w:r w:rsidRPr="00271E3F">
        <w:rPr>
          <w:noProof/>
        </w:rPr>
        <w:lastRenderedPageBreak/>
        <w:drawing>
          <wp:inline distT="0" distB="0" distL="0" distR="0" wp14:anchorId="2ECBC176" wp14:editId="59C99CA3">
            <wp:extent cx="3528203" cy="1654323"/>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568907" cy="1673409"/>
                    </a:xfrm>
                    <a:prstGeom prst="rect">
                      <a:avLst/>
                    </a:prstGeom>
                    <a:noFill/>
                    <a:ln>
                      <a:noFill/>
                    </a:ln>
                  </pic:spPr>
                </pic:pic>
              </a:graphicData>
            </a:graphic>
          </wp:inline>
        </w:drawing>
      </w:r>
    </w:p>
    <w:p w14:paraId="050C5D0D" w14:textId="77777777" w:rsidR="00817789" w:rsidRPr="00BF232C" w:rsidRDefault="00817789" w:rsidP="00817789">
      <w:pPr>
        <w:pStyle w:val="Caption"/>
        <w:jc w:val="center"/>
      </w:pPr>
      <w:r>
        <w:t>Figure 5 Differential RTT and group delay</w:t>
      </w:r>
    </w:p>
    <w:p w14:paraId="465A6349" w14:textId="77777777" w:rsidR="00817789" w:rsidRDefault="00817789" w:rsidP="00817789">
      <w:r>
        <w:t xml:space="preserve">We present a preliminary analysis on the calibration level required to meet the accuracy requirements set forth in </w:t>
      </w:r>
      <w:r w:rsidRPr="000454EF">
        <w:t>TR38.855</w:t>
      </w:r>
      <w:r>
        <w:t>. With 10-meter horizontal positioning error for outdoor deployment scenarios, the total error budget of the system is approximately 33ns. Assuming PRS BW of 100 MHz in DL, the baseband TOA estimation in the UE yields an error approximately equal to 1/BW or 10ns. Similarly, assuming SRS BW of 100 MHz in UL, the baseband TOA estimation in the gNB leads to another 10ns of error. This leaves only 13ns budget for total calibration error of UE and gNB.  As a refence, current requirements for time alignment error (TAE) at gNB between different branches of MIMO transmission is 65ns (clause 6.5.3.2 of TS 38.104).</w:t>
      </w:r>
    </w:p>
    <w:p w14:paraId="149FBDC4" w14:textId="3FB04FFA" w:rsidR="00817789" w:rsidRDefault="00817789" w:rsidP="00817789">
      <w:pPr>
        <w:rPr>
          <w:b/>
          <w:bCs/>
        </w:rPr>
      </w:pPr>
      <w:r w:rsidRPr="007B582F">
        <w:rPr>
          <w:b/>
          <w:bCs/>
        </w:rPr>
        <w:t xml:space="preserve">Observation </w:t>
      </w:r>
      <w:r w:rsidR="00FC17FD">
        <w:rPr>
          <w:b/>
          <w:bCs/>
        </w:rPr>
        <w:t>1</w:t>
      </w:r>
      <w:r w:rsidRPr="007B582F">
        <w:rPr>
          <w:b/>
          <w:bCs/>
        </w:rPr>
        <w:t xml:space="preserve">. </w:t>
      </w:r>
      <w:r w:rsidRPr="00275D93">
        <w:rPr>
          <w:b/>
          <w:bCs/>
        </w:rPr>
        <w:t>In contrast to TDOA-based methods, RTT-based positioning does not require very tight synchronization among cells.</w:t>
      </w:r>
      <w:r>
        <w:t xml:space="preserve"> </w:t>
      </w:r>
      <w:r w:rsidRPr="007B582F">
        <w:rPr>
          <w:b/>
          <w:bCs/>
        </w:rPr>
        <w:t>Calibration error and group delay variation in both UE and gNB are main sources of impediments in RTT.</w:t>
      </w:r>
      <w:r>
        <w:rPr>
          <w:b/>
          <w:bCs/>
        </w:rPr>
        <w:t xml:space="preserve"> In multi-RTT, the common part of UE group delay can be cancelled in differential computation.</w:t>
      </w:r>
      <w:r w:rsidRPr="007B582F">
        <w:rPr>
          <w:b/>
          <w:bCs/>
        </w:rPr>
        <w:t xml:space="preserve"> To meet positioning accuracy requirements in TR38.855, calibration of group delay at both UE and gNB </w:t>
      </w:r>
      <w:r>
        <w:rPr>
          <w:b/>
          <w:bCs/>
        </w:rPr>
        <w:t>must</w:t>
      </w:r>
      <w:r w:rsidRPr="007B582F">
        <w:rPr>
          <w:b/>
          <w:bCs/>
        </w:rPr>
        <w:t xml:space="preserve"> significantly improve. </w:t>
      </w:r>
    </w:p>
    <w:p w14:paraId="058A4B6C" w14:textId="245F7B86" w:rsidR="00F11F73" w:rsidRDefault="00436C38" w:rsidP="00817789">
      <w:r>
        <w:t>F</w:t>
      </w:r>
      <w:r w:rsidR="00817789">
        <w:t xml:space="preserve">eatures aside from NR positioning also require tight calibration of gNB Rx-Tx group delay. For instance, reciprocity-based multi-user MIMO (MU-MIMO) beamforming in the DL relies on gNB being able to receive the SRS from multiple UEs to estimate the proper precoder to maintain DL orthogonality among coupled UEs. To accomplish this, the Tx (DL) path needs to be well calibrated with the Rx (UL) path at gNB. </w:t>
      </w:r>
      <w:r w:rsidR="00F11F73">
        <w:t xml:space="preserve">Hence, improving </w:t>
      </w:r>
      <w:r w:rsidR="00F46B97">
        <w:t>calibration of gNB Rx-Tx group delay</w:t>
      </w:r>
      <w:r w:rsidR="00312904">
        <w:t xml:space="preserve"> helps with other non-positioning fea</w:t>
      </w:r>
      <w:r w:rsidR="00410C3E">
        <w:t>t</w:t>
      </w:r>
      <w:r w:rsidR="00312904">
        <w:t xml:space="preserve">ures. </w:t>
      </w:r>
      <w:r w:rsidR="00B45AA1">
        <w:t xml:space="preserve">For other gNB measurements such as UL RTOA or UL AoA/ZoA, there is no synergy </w:t>
      </w:r>
      <w:r w:rsidR="002C29D9">
        <w:t xml:space="preserve">or application for other use cases. </w:t>
      </w:r>
    </w:p>
    <w:p w14:paraId="5B746F5B" w14:textId="3FC9422D" w:rsidR="00817789" w:rsidRDefault="00817789" w:rsidP="00817789">
      <w:pPr>
        <w:rPr>
          <w:b/>
          <w:bCs/>
        </w:rPr>
      </w:pPr>
      <w:r w:rsidRPr="00C73568">
        <w:rPr>
          <w:b/>
          <w:bCs/>
        </w:rPr>
        <w:t xml:space="preserve">Observation </w:t>
      </w:r>
      <w:r w:rsidR="00037370">
        <w:rPr>
          <w:b/>
          <w:bCs/>
        </w:rPr>
        <w:t>2</w:t>
      </w:r>
      <w:r w:rsidRPr="00C73568">
        <w:rPr>
          <w:b/>
          <w:bCs/>
        </w:rPr>
        <w:t xml:space="preserve">. Features aside from NR positioning also require tight calibration of gNB Rx-Tx group delay. For instance, reciprocity-based multi-user MIMO (MU-MIMO) beamforming in the DL relies on gNB being able to receive the SRS from multiple UEs to estimate the proper precoder to maintain DL orthogonality among coupled UEs. To accomplish this, the Tx (DL) path needs to be well calibrated with the Rx (UL) path at gNB. </w:t>
      </w:r>
    </w:p>
    <w:p w14:paraId="0938AF45" w14:textId="07FE2550" w:rsidR="00433ECB" w:rsidRPr="00433ECB" w:rsidRDefault="00037370" w:rsidP="00433ECB">
      <w:pPr>
        <w:rPr>
          <w:b/>
          <w:bCs/>
        </w:rPr>
      </w:pPr>
      <w:r w:rsidRPr="00433ECB">
        <w:rPr>
          <w:b/>
          <w:bCs/>
        </w:rPr>
        <w:t xml:space="preserve">Observation 3. </w:t>
      </w:r>
      <w:r w:rsidR="00433ECB" w:rsidRPr="00433ECB">
        <w:rPr>
          <w:b/>
          <w:bCs/>
        </w:rPr>
        <w:t xml:space="preserve">For other gNB measurements such as UL RTOA or UL AoA/ZoA, there is no synergy or application for other use cases beyond positioning. </w:t>
      </w:r>
    </w:p>
    <w:p w14:paraId="391491A5" w14:textId="414DAF25" w:rsidR="00037370" w:rsidRDefault="006B0605" w:rsidP="00817789">
      <w:r>
        <w:t>In RAN4#93 meeting, a major</w:t>
      </w:r>
      <w:r w:rsidR="0078583F">
        <w:t xml:space="preserve">ity of companies were in favour of option </w:t>
      </w:r>
      <w:r w:rsidR="00DE5154">
        <w:t>1 in [1]</w:t>
      </w:r>
      <w:r w:rsidR="00C95B62">
        <w:t xml:space="preserve">. In [3], </w:t>
      </w:r>
      <w:r w:rsidR="000C6F1B">
        <w:t>option 2 was advocated</w:t>
      </w:r>
      <w:r w:rsidR="00C95B62">
        <w:t xml:space="preserve"> to have gNB </w:t>
      </w:r>
      <w:r w:rsidR="00823D0F">
        <w:t xml:space="preserve">measurement performance requirements for all types </w:t>
      </w:r>
      <w:r w:rsidR="00BC3B14">
        <w:t xml:space="preserve">so as to not unfairly </w:t>
      </w:r>
      <w:r w:rsidR="00715A09">
        <w:t xml:space="preserve">impose performance requirements for a gNB that supports one measurement type but not others. </w:t>
      </w:r>
      <w:r w:rsidR="002716F1">
        <w:t xml:space="preserve">While this is valid argument, </w:t>
      </w:r>
      <w:r w:rsidR="00EB0836">
        <w:t xml:space="preserve">in our opinion, RAN4 should also </w:t>
      </w:r>
      <w:r w:rsidR="001A0B23">
        <w:t xml:space="preserve">make a realistic goal of </w:t>
      </w:r>
      <w:r w:rsidR="008525C3">
        <w:t>being able to finish the positioning WI in time</w:t>
      </w:r>
      <w:r w:rsidR="006F3512">
        <w:t>. We are no</w:t>
      </w:r>
      <w:r w:rsidR="009A576D">
        <w:t xml:space="preserve">t opposed to option 2 and </w:t>
      </w:r>
      <w:r w:rsidR="00321639">
        <w:t>support it if more companies are aligned to it</w:t>
      </w:r>
      <w:r w:rsidR="00AF1477">
        <w:t>.</w:t>
      </w:r>
      <w:r w:rsidR="00A62BD5">
        <w:t xml:space="preserve"> In future releases such as </w:t>
      </w:r>
      <w:r w:rsidR="00FE7AF0">
        <w:t xml:space="preserve">R17 NR positioning enhancements, </w:t>
      </w:r>
      <w:r w:rsidR="00EE035C">
        <w:t xml:space="preserve">performance requirements for other gNB measurement types not included in option 1 can </w:t>
      </w:r>
      <w:r w:rsidR="00501B3D">
        <w:t>be specified.</w:t>
      </w:r>
      <w:r w:rsidR="00AF1477">
        <w:t xml:space="preserve"> However, option 1 is more realistic and doable within the </w:t>
      </w:r>
      <w:r w:rsidR="00A54F25">
        <w:t xml:space="preserve">R16 time frame. </w:t>
      </w:r>
      <w:r w:rsidR="008A1ABB">
        <w:t xml:space="preserve">Option 3 is certainly </w:t>
      </w:r>
      <w:r w:rsidR="00C6228B">
        <w:t xml:space="preserve">detrimental to </w:t>
      </w:r>
      <w:r w:rsidR="000B7CC8">
        <w:t xml:space="preserve">the commercial success of NR positioning as it has been discussed in length in </w:t>
      </w:r>
      <w:r w:rsidR="007D01C7">
        <w:t xml:space="preserve">[2]. </w:t>
      </w:r>
    </w:p>
    <w:p w14:paraId="5C44EEFD" w14:textId="039BFB35" w:rsidR="00E84848" w:rsidRPr="004B2719" w:rsidRDefault="00E84848" w:rsidP="00817789">
      <w:pPr>
        <w:rPr>
          <w:b/>
          <w:bCs/>
        </w:rPr>
      </w:pPr>
      <w:r w:rsidRPr="004B2719">
        <w:rPr>
          <w:b/>
          <w:bCs/>
        </w:rPr>
        <w:t xml:space="preserve">Observation 4. Option </w:t>
      </w:r>
      <w:r w:rsidR="004B2FAC" w:rsidRPr="004B2719">
        <w:rPr>
          <w:b/>
          <w:bCs/>
        </w:rPr>
        <w:t xml:space="preserve">1 </w:t>
      </w:r>
      <w:r w:rsidRPr="004B2719">
        <w:rPr>
          <w:b/>
          <w:bCs/>
        </w:rPr>
        <w:t xml:space="preserve">is </w:t>
      </w:r>
      <w:r w:rsidR="00CA238B" w:rsidRPr="004B2719">
        <w:rPr>
          <w:b/>
          <w:bCs/>
        </w:rPr>
        <w:t xml:space="preserve">more realistic and doable within R16 time frame. </w:t>
      </w:r>
      <w:r w:rsidR="004B2FAC" w:rsidRPr="004B2719">
        <w:rPr>
          <w:b/>
          <w:bCs/>
        </w:rPr>
        <w:t>Performance requirements for other measurement types not included in option 1 can</w:t>
      </w:r>
      <w:r w:rsidR="002C72CD" w:rsidRPr="004B2719">
        <w:rPr>
          <w:b/>
          <w:bCs/>
        </w:rPr>
        <w:t xml:space="preserve"> be specified in future releases such as R17 NR positioning enhancements. Option 3 is </w:t>
      </w:r>
      <w:r w:rsidR="004B2719" w:rsidRPr="004B2719">
        <w:rPr>
          <w:b/>
          <w:bCs/>
        </w:rPr>
        <w:t>certainly detrimental to the commercial success of NR positioning.</w:t>
      </w:r>
    </w:p>
    <w:p w14:paraId="7F0A3E9B" w14:textId="77777777" w:rsidR="004B2719" w:rsidRPr="000001EA" w:rsidRDefault="00817789" w:rsidP="004B2719">
      <w:pPr>
        <w:tabs>
          <w:tab w:val="num" w:pos="1440"/>
        </w:tabs>
        <w:rPr>
          <w:rFonts w:eastAsia="Batang"/>
          <w:b/>
          <w:lang w:val="en-US" w:eastAsia="zh-CN"/>
        </w:rPr>
      </w:pPr>
      <w:r w:rsidRPr="003634C1">
        <w:rPr>
          <w:b/>
          <w:bCs/>
          <w:lang w:val="en-US"/>
        </w:rPr>
        <w:t xml:space="preserve">Proposal </w:t>
      </w:r>
      <w:r w:rsidR="004B2719">
        <w:rPr>
          <w:b/>
          <w:bCs/>
          <w:lang w:val="en-US"/>
        </w:rPr>
        <w:t>1</w:t>
      </w:r>
      <w:r w:rsidRPr="003634C1">
        <w:rPr>
          <w:b/>
          <w:bCs/>
          <w:lang w:val="en-US"/>
        </w:rPr>
        <w:t xml:space="preserve">. RAN4 to </w:t>
      </w:r>
      <w:r w:rsidR="004B2719">
        <w:rPr>
          <w:b/>
          <w:bCs/>
          <w:lang w:val="en-US"/>
        </w:rPr>
        <w:t xml:space="preserve">adopt option 1: </w:t>
      </w:r>
      <w:r w:rsidR="004B2719" w:rsidRPr="000001EA">
        <w:rPr>
          <w:rFonts w:eastAsia="Batang"/>
          <w:b/>
          <w:lang w:eastAsia="zh-CN"/>
        </w:rPr>
        <w:t>Define gNB measurement accuracy requirements for gNB measurement types in the Perf part</w:t>
      </w:r>
    </w:p>
    <w:p w14:paraId="4710B799" w14:textId="77777777" w:rsidR="004B2719" w:rsidRPr="000001EA" w:rsidRDefault="004B2719" w:rsidP="004B2719">
      <w:pPr>
        <w:numPr>
          <w:ilvl w:val="0"/>
          <w:numId w:val="38"/>
        </w:numPr>
        <w:tabs>
          <w:tab w:val="num" w:pos="2160"/>
        </w:tabs>
        <w:rPr>
          <w:rFonts w:eastAsia="Batang"/>
          <w:b/>
          <w:lang w:val="en-US" w:eastAsia="zh-CN"/>
        </w:rPr>
      </w:pPr>
      <w:r w:rsidRPr="000001EA">
        <w:rPr>
          <w:rFonts w:eastAsia="Batang"/>
          <w:b/>
          <w:lang w:val="en-US" w:eastAsia="zh-CN"/>
        </w:rPr>
        <w:t>Rx-Tx timing difference</w:t>
      </w:r>
    </w:p>
    <w:p w14:paraId="05E2ACF6" w14:textId="5885C6DB" w:rsidR="00EA5911" w:rsidRPr="001A56B0" w:rsidRDefault="004B2719" w:rsidP="00CE3D83">
      <w:pPr>
        <w:numPr>
          <w:ilvl w:val="0"/>
          <w:numId w:val="38"/>
        </w:numPr>
        <w:tabs>
          <w:tab w:val="num" w:pos="2160"/>
        </w:tabs>
        <w:rPr>
          <w:rFonts w:eastAsia="Batang"/>
          <w:b/>
          <w:lang w:val="en-US" w:eastAsia="zh-CN"/>
        </w:rPr>
      </w:pPr>
      <w:r w:rsidRPr="000001EA">
        <w:rPr>
          <w:rFonts w:eastAsia="Batang"/>
          <w:b/>
          <w:lang w:val="en-US" w:eastAsia="zh-CN"/>
        </w:rPr>
        <w:t>UL SRS-RSRP measurements</w:t>
      </w:r>
    </w:p>
    <w:p w14:paraId="05109B46" w14:textId="01022CC4" w:rsidR="00F2107A" w:rsidRDefault="0032488E" w:rsidP="005D6C7D">
      <w:pPr>
        <w:pStyle w:val="Heading1"/>
        <w:rPr>
          <w:lang w:val="en-US"/>
        </w:rPr>
      </w:pPr>
      <w:r>
        <w:rPr>
          <w:lang w:val="en-US"/>
        </w:rPr>
        <w:lastRenderedPageBreak/>
        <w:t>Con</w:t>
      </w:r>
      <w:r w:rsidR="00F2107A">
        <w:rPr>
          <w:lang w:val="en-US"/>
        </w:rPr>
        <w:t>clusions</w:t>
      </w:r>
    </w:p>
    <w:p w14:paraId="7A46D028" w14:textId="77777777" w:rsidR="00F64242" w:rsidRDefault="00F64242" w:rsidP="00F64242">
      <w:pPr>
        <w:rPr>
          <w:b/>
          <w:bCs/>
        </w:rPr>
      </w:pPr>
      <w:r w:rsidRPr="007B582F">
        <w:rPr>
          <w:b/>
          <w:bCs/>
        </w:rPr>
        <w:t xml:space="preserve">Observation </w:t>
      </w:r>
      <w:r>
        <w:rPr>
          <w:b/>
          <w:bCs/>
        </w:rPr>
        <w:t>1</w:t>
      </w:r>
      <w:r w:rsidRPr="007B582F">
        <w:rPr>
          <w:b/>
          <w:bCs/>
        </w:rPr>
        <w:t xml:space="preserve">. </w:t>
      </w:r>
      <w:r w:rsidRPr="00275D93">
        <w:rPr>
          <w:b/>
          <w:bCs/>
        </w:rPr>
        <w:t>In contrast to TDOA-based methods, RTT-based positioning does not require very tight synchronization among cells.</w:t>
      </w:r>
      <w:r>
        <w:t xml:space="preserve"> </w:t>
      </w:r>
      <w:r w:rsidRPr="007B582F">
        <w:rPr>
          <w:b/>
          <w:bCs/>
        </w:rPr>
        <w:t>Calibration error and group delay variation in both UE and gNB are main sources of impediments in RTT.</w:t>
      </w:r>
      <w:r>
        <w:rPr>
          <w:b/>
          <w:bCs/>
        </w:rPr>
        <w:t xml:space="preserve"> In multi-RTT, the common part of UE group delay can be cancelled in differential computation.</w:t>
      </w:r>
      <w:r w:rsidRPr="007B582F">
        <w:rPr>
          <w:b/>
          <w:bCs/>
        </w:rPr>
        <w:t xml:space="preserve"> To meet positioning accuracy requirements in TR38.855, calibration of group delay at both UE and gNB </w:t>
      </w:r>
      <w:r>
        <w:rPr>
          <w:b/>
          <w:bCs/>
        </w:rPr>
        <w:t>must</w:t>
      </w:r>
      <w:r w:rsidRPr="007B582F">
        <w:rPr>
          <w:b/>
          <w:bCs/>
        </w:rPr>
        <w:t xml:space="preserve"> significantly improve. </w:t>
      </w:r>
    </w:p>
    <w:p w14:paraId="3820FFC2" w14:textId="77777777" w:rsidR="00F64242" w:rsidRDefault="00F64242" w:rsidP="00F64242">
      <w:pPr>
        <w:rPr>
          <w:b/>
          <w:bCs/>
        </w:rPr>
      </w:pPr>
      <w:r w:rsidRPr="00C73568">
        <w:rPr>
          <w:b/>
          <w:bCs/>
        </w:rPr>
        <w:t xml:space="preserve">Observation </w:t>
      </w:r>
      <w:r>
        <w:rPr>
          <w:b/>
          <w:bCs/>
        </w:rPr>
        <w:t>2</w:t>
      </w:r>
      <w:r w:rsidRPr="00C73568">
        <w:rPr>
          <w:b/>
          <w:bCs/>
        </w:rPr>
        <w:t xml:space="preserve">. Features aside from NR positioning also require tight calibration of gNB Rx-Tx group delay. For instance, reciprocity-based multi-user MIMO (MU-MIMO) beamforming in the DL relies on gNB being able to receive the SRS from multiple UEs to estimate the proper precoder to maintain DL orthogonality among coupled UEs. To accomplish this, the Tx (DL) path needs to be well calibrated with the Rx (UL) path at gNB. </w:t>
      </w:r>
    </w:p>
    <w:p w14:paraId="65007B4F" w14:textId="77777777" w:rsidR="00F64242" w:rsidRPr="00433ECB" w:rsidRDefault="00F64242" w:rsidP="00F64242">
      <w:pPr>
        <w:rPr>
          <w:b/>
          <w:bCs/>
        </w:rPr>
      </w:pPr>
      <w:r w:rsidRPr="00433ECB">
        <w:rPr>
          <w:b/>
          <w:bCs/>
        </w:rPr>
        <w:t xml:space="preserve">Observation 3. For other gNB measurements such as UL RTOA or UL AoA/ZoA, there is no synergy or application for other use cases beyond positioning. </w:t>
      </w:r>
    </w:p>
    <w:p w14:paraId="0C126FAB" w14:textId="77777777" w:rsidR="00F64242" w:rsidRPr="004B2719" w:rsidRDefault="00F64242" w:rsidP="00F64242">
      <w:pPr>
        <w:rPr>
          <w:b/>
          <w:bCs/>
        </w:rPr>
      </w:pPr>
      <w:r w:rsidRPr="004B2719">
        <w:rPr>
          <w:b/>
          <w:bCs/>
        </w:rPr>
        <w:t>Observation 4. Option 1 is more realistic and doable within R16 time frame. Performance requirements for other measurement types not included in option 1 can be specified in future releases such as R17 NR positioning enhancements. Option 3 is certainly detrimental to the commercial success of NR positioning.</w:t>
      </w:r>
    </w:p>
    <w:p w14:paraId="3A52AA0B" w14:textId="77777777" w:rsidR="00F64242" w:rsidRPr="000001EA" w:rsidRDefault="00F64242" w:rsidP="00F64242">
      <w:pPr>
        <w:tabs>
          <w:tab w:val="num" w:pos="1440"/>
        </w:tabs>
        <w:rPr>
          <w:rFonts w:eastAsia="Batang"/>
          <w:b/>
          <w:lang w:val="en-US" w:eastAsia="zh-CN"/>
        </w:rPr>
      </w:pPr>
      <w:r w:rsidRPr="003634C1">
        <w:rPr>
          <w:b/>
          <w:bCs/>
          <w:lang w:val="en-US"/>
        </w:rPr>
        <w:t xml:space="preserve">Proposal </w:t>
      </w:r>
      <w:r>
        <w:rPr>
          <w:b/>
          <w:bCs/>
          <w:lang w:val="en-US"/>
        </w:rPr>
        <w:t>1</w:t>
      </w:r>
      <w:r w:rsidRPr="003634C1">
        <w:rPr>
          <w:b/>
          <w:bCs/>
          <w:lang w:val="en-US"/>
        </w:rPr>
        <w:t xml:space="preserve">. RAN4 to </w:t>
      </w:r>
      <w:r>
        <w:rPr>
          <w:b/>
          <w:bCs/>
          <w:lang w:val="en-US"/>
        </w:rPr>
        <w:t xml:space="preserve">adopt option 1: </w:t>
      </w:r>
      <w:r w:rsidRPr="000001EA">
        <w:rPr>
          <w:rFonts w:eastAsia="Batang"/>
          <w:b/>
          <w:lang w:eastAsia="zh-CN"/>
        </w:rPr>
        <w:t>Define gNB measurement accuracy requirements for gNB measurement types in the Perf part</w:t>
      </w:r>
    </w:p>
    <w:p w14:paraId="1052474F" w14:textId="77777777" w:rsidR="00F64242" w:rsidRPr="000001EA" w:rsidRDefault="00F64242" w:rsidP="00F64242">
      <w:pPr>
        <w:numPr>
          <w:ilvl w:val="0"/>
          <w:numId w:val="38"/>
        </w:numPr>
        <w:tabs>
          <w:tab w:val="num" w:pos="2160"/>
        </w:tabs>
        <w:rPr>
          <w:rFonts w:eastAsia="Batang"/>
          <w:b/>
          <w:lang w:val="en-US" w:eastAsia="zh-CN"/>
        </w:rPr>
      </w:pPr>
      <w:r w:rsidRPr="000001EA">
        <w:rPr>
          <w:rFonts w:eastAsia="Batang"/>
          <w:b/>
          <w:lang w:val="en-US" w:eastAsia="zh-CN"/>
        </w:rPr>
        <w:t>Rx-Tx timing difference</w:t>
      </w:r>
    </w:p>
    <w:p w14:paraId="4B7C0144" w14:textId="2B19A00A" w:rsidR="00804DAC" w:rsidRPr="00F64242" w:rsidRDefault="00F64242" w:rsidP="00804DAC">
      <w:pPr>
        <w:numPr>
          <w:ilvl w:val="0"/>
          <w:numId w:val="38"/>
        </w:numPr>
        <w:tabs>
          <w:tab w:val="num" w:pos="2160"/>
        </w:tabs>
        <w:rPr>
          <w:rFonts w:eastAsia="Batang"/>
          <w:b/>
          <w:lang w:val="en-US" w:eastAsia="zh-CN"/>
        </w:rPr>
      </w:pPr>
      <w:r w:rsidRPr="000001EA">
        <w:rPr>
          <w:rFonts w:eastAsia="Batang"/>
          <w:b/>
          <w:lang w:val="en-US" w:eastAsia="zh-CN"/>
        </w:rPr>
        <w:t>UL SRS-RSRP measurements</w:t>
      </w:r>
    </w:p>
    <w:p w14:paraId="0C633F9D" w14:textId="2FAFCE22" w:rsidR="00797CE5" w:rsidRDefault="00797CE5" w:rsidP="006050F7">
      <w:pPr>
        <w:pStyle w:val="Heading1"/>
        <w:numPr>
          <w:ilvl w:val="0"/>
          <w:numId w:val="0"/>
        </w:numPr>
        <w:rPr>
          <w:lang w:val="en-US"/>
        </w:rPr>
      </w:pPr>
      <w:r>
        <w:rPr>
          <w:lang w:val="en-US"/>
        </w:rPr>
        <w:t>References</w:t>
      </w:r>
    </w:p>
    <w:p w14:paraId="0683BDEE" w14:textId="6C1879F1" w:rsidR="0045046B" w:rsidRDefault="0045046B" w:rsidP="0045046B">
      <w:pPr>
        <w:rPr>
          <w:lang w:val="en-US"/>
        </w:rPr>
      </w:pPr>
      <w:r>
        <w:rPr>
          <w:lang w:val="en-US"/>
        </w:rPr>
        <w:t>[1] R4-191</w:t>
      </w:r>
      <w:r w:rsidR="005217F3">
        <w:rPr>
          <w:lang w:val="en-US"/>
        </w:rPr>
        <w:t>5854</w:t>
      </w:r>
    </w:p>
    <w:p w14:paraId="020B01E8" w14:textId="07E3FCC8" w:rsidR="00250725" w:rsidRDefault="00250725" w:rsidP="0045046B">
      <w:pPr>
        <w:rPr>
          <w:lang w:val="en-US"/>
        </w:rPr>
      </w:pPr>
      <w:r>
        <w:rPr>
          <w:lang w:val="en-US"/>
        </w:rPr>
        <w:t>[2] R4-191</w:t>
      </w:r>
      <w:r w:rsidR="007C7261">
        <w:rPr>
          <w:lang w:val="en-US"/>
        </w:rPr>
        <w:t>5183</w:t>
      </w:r>
    </w:p>
    <w:p w14:paraId="50654877" w14:textId="40FC99A4" w:rsidR="007D01C7" w:rsidRPr="0045046B" w:rsidRDefault="007D01C7" w:rsidP="0045046B">
      <w:pPr>
        <w:rPr>
          <w:lang w:val="en-US"/>
        </w:rPr>
      </w:pPr>
      <w:r>
        <w:rPr>
          <w:lang w:val="en-US"/>
        </w:rPr>
        <w:t>[3]</w:t>
      </w:r>
      <w:r w:rsidR="00724F14">
        <w:rPr>
          <w:lang w:val="en-US"/>
        </w:rPr>
        <w:t xml:space="preserve"> R4-1914953</w:t>
      </w:r>
      <w:bookmarkStart w:id="0" w:name="_GoBack"/>
      <w:bookmarkEnd w:id="0"/>
    </w:p>
    <w:p w14:paraId="7B142946" w14:textId="6F497208" w:rsidR="00BF31AD" w:rsidRDefault="00BF31AD" w:rsidP="00797CE5">
      <w:pPr>
        <w:rPr>
          <w:lang w:val="en-US"/>
        </w:rPr>
      </w:pPr>
    </w:p>
    <w:sectPr w:rsidR="00BF31AD" w:rsidSect="00571A0A">
      <w:footerReference w:type="even" r:id="rId14"/>
      <w:footerReference w:type="defaul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03CB3A" w14:textId="77777777" w:rsidR="00077BAB" w:rsidRDefault="00077BAB">
      <w:r>
        <w:separator/>
      </w:r>
    </w:p>
  </w:endnote>
  <w:endnote w:type="continuationSeparator" w:id="0">
    <w:p w14:paraId="24A52FF0" w14:textId="77777777" w:rsidR="00077BAB" w:rsidRDefault="00077B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ms Rmn">
    <w:altName w:val="Times New Roman"/>
    <w:panose1 w:val="020206030405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FCFF1B" w14:textId="77777777" w:rsidR="00077BAB" w:rsidRDefault="00077BAB">
      <w:r>
        <w:separator/>
      </w:r>
    </w:p>
  </w:footnote>
  <w:footnote w:type="continuationSeparator" w:id="0">
    <w:p w14:paraId="6E00CA15" w14:textId="77777777" w:rsidR="00077BAB" w:rsidRDefault="00077BA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63F57BD"/>
    <w:multiLevelType w:val="hybridMultilevel"/>
    <w:tmpl w:val="4EB25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1E6F8F"/>
    <w:multiLevelType w:val="hybridMultilevel"/>
    <w:tmpl w:val="0FC2D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211E08"/>
    <w:multiLevelType w:val="hybridMultilevel"/>
    <w:tmpl w:val="9FE0C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A65EE"/>
    <w:multiLevelType w:val="hybridMultilevel"/>
    <w:tmpl w:val="63DC7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BB1A0E"/>
    <w:multiLevelType w:val="hybridMultilevel"/>
    <w:tmpl w:val="5E1605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6A1A34"/>
    <w:multiLevelType w:val="hybridMultilevel"/>
    <w:tmpl w:val="EE7CC0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172533"/>
    <w:multiLevelType w:val="hybridMultilevel"/>
    <w:tmpl w:val="3BEAD5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1D0005">
      <w:start w:val="1"/>
      <w:numFmt w:val="bullet"/>
      <w:lvlText w:val=""/>
      <w:lvlJc w:val="left"/>
      <w:pPr>
        <w:ind w:left="1260" w:hanging="420"/>
      </w:pPr>
      <w:rPr>
        <w:rFonts w:ascii="Wingdings" w:hAnsi="Wingdings" w:hint="default"/>
      </w:rPr>
    </w:lvl>
    <w:lvl w:ilvl="3" w:tplc="EB06F990">
      <w:start w:val="1"/>
      <w:numFmt w:val="bullet"/>
      <w:lvlText w:val="-"/>
      <w:lvlJc w:val="left"/>
      <w:pPr>
        <w:ind w:left="1680" w:hanging="420"/>
      </w:pPr>
      <w:rPr>
        <w:rFonts w:ascii="Times New Roman" w:eastAsia="SimSun" w:hAnsi="Times New Roman" w:cs="Times New Roman" w:hint="default"/>
      </w:rPr>
    </w:lvl>
    <w:lvl w:ilvl="4" w:tplc="C4F69084">
      <w:start w:val="1"/>
      <w:numFmt w:val="bullet"/>
      <w:lvlText w:val="­"/>
      <w:lvlJc w:val="left"/>
      <w:pPr>
        <w:ind w:left="2100" w:hanging="420"/>
      </w:pPr>
      <w:rPr>
        <w:rFonts w:ascii="SimSun" w:eastAsia="SimSun" w:hAnsi="SimSun" w:hint="eastAsia"/>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D77C16"/>
    <w:multiLevelType w:val="hybridMultilevel"/>
    <w:tmpl w:val="6B2E2E00"/>
    <w:lvl w:ilvl="0" w:tplc="263AC12E">
      <w:start w:val="1"/>
      <w:numFmt w:val="bullet"/>
      <w:lvlText w:val="•"/>
      <w:lvlJc w:val="left"/>
      <w:pPr>
        <w:tabs>
          <w:tab w:val="num" w:pos="360"/>
        </w:tabs>
        <w:ind w:left="360" w:hanging="360"/>
      </w:pPr>
      <w:rPr>
        <w:rFonts w:ascii="Arial" w:hAnsi="Arial" w:hint="default"/>
      </w:rPr>
    </w:lvl>
    <w:lvl w:ilvl="1" w:tplc="89529EFC">
      <w:numFmt w:val="bullet"/>
      <w:lvlText w:val="•"/>
      <w:lvlJc w:val="left"/>
      <w:pPr>
        <w:tabs>
          <w:tab w:val="num" w:pos="1080"/>
        </w:tabs>
        <w:ind w:left="1080" w:hanging="360"/>
      </w:pPr>
      <w:rPr>
        <w:rFonts w:ascii="Arial" w:hAnsi="Arial" w:hint="default"/>
      </w:rPr>
    </w:lvl>
    <w:lvl w:ilvl="2" w:tplc="B804168E" w:tentative="1">
      <w:start w:val="1"/>
      <w:numFmt w:val="bullet"/>
      <w:lvlText w:val="•"/>
      <w:lvlJc w:val="left"/>
      <w:pPr>
        <w:tabs>
          <w:tab w:val="num" w:pos="1800"/>
        </w:tabs>
        <w:ind w:left="1800" w:hanging="360"/>
      </w:pPr>
      <w:rPr>
        <w:rFonts w:ascii="Arial" w:hAnsi="Arial" w:hint="default"/>
      </w:rPr>
    </w:lvl>
    <w:lvl w:ilvl="3" w:tplc="C8FE6F6E" w:tentative="1">
      <w:start w:val="1"/>
      <w:numFmt w:val="bullet"/>
      <w:lvlText w:val="•"/>
      <w:lvlJc w:val="left"/>
      <w:pPr>
        <w:tabs>
          <w:tab w:val="num" w:pos="2520"/>
        </w:tabs>
        <w:ind w:left="2520" w:hanging="360"/>
      </w:pPr>
      <w:rPr>
        <w:rFonts w:ascii="Arial" w:hAnsi="Arial" w:hint="default"/>
      </w:rPr>
    </w:lvl>
    <w:lvl w:ilvl="4" w:tplc="6D781B0E" w:tentative="1">
      <w:start w:val="1"/>
      <w:numFmt w:val="bullet"/>
      <w:lvlText w:val="•"/>
      <w:lvlJc w:val="left"/>
      <w:pPr>
        <w:tabs>
          <w:tab w:val="num" w:pos="3240"/>
        </w:tabs>
        <w:ind w:left="3240" w:hanging="360"/>
      </w:pPr>
      <w:rPr>
        <w:rFonts w:ascii="Arial" w:hAnsi="Arial" w:hint="default"/>
      </w:rPr>
    </w:lvl>
    <w:lvl w:ilvl="5" w:tplc="56160E28" w:tentative="1">
      <w:start w:val="1"/>
      <w:numFmt w:val="bullet"/>
      <w:lvlText w:val="•"/>
      <w:lvlJc w:val="left"/>
      <w:pPr>
        <w:tabs>
          <w:tab w:val="num" w:pos="3960"/>
        </w:tabs>
        <w:ind w:left="3960" w:hanging="360"/>
      </w:pPr>
      <w:rPr>
        <w:rFonts w:ascii="Arial" w:hAnsi="Arial" w:hint="default"/>
      </w:rPr>
    </w:lvl>
    <w:lvl w:ilvl="6" w:tplc="5CAE06C2" w:tentative="1">
      <w:start w:val="1"/>
      <w:numFmt w:val="bullet"/>
      <w:lvlText w:val="•"/>
      <w:lvlJc w:val="left"/>
      <w:pPr>
        <w:tabs>
          <w:tab w:val="num" w:pos="4680"/>
        </w:tabs>
        <w:ind w:left="4680" w:hanging="360"/>
      </w:pPr>
      <w:rPr>
        <w:rFonts w:ascii="Arial" w:hAnsi="Arial" w:hint="default"/>
      </w:rPr>
    </w:lvl>
    <w:lvl w:ilvl="7" w:tplc="91ECA076" w:tentative="1">
      <w:start w:val="1"/>
      <w:numFmt w:val="bullet"/>
      <w:lvlText w:val="•"/>
      <w:lvlJc w:val="left"/>
      <w:pPr>
        <w:tabs>
          <w:tab w:val="num" w:pos="5400"/>
        </w:tabs>
        <w:ind w:left="5400" w:hanging="360"/>
      </w:pPr>
      <w:rPr>
        <w:rFonts w:ascii="Arial" w:hAnsi="Arial" w:hint="default"/>
      </w:rPr>
    </w:lvl>
    <w:lvl w:ilvl="8" w:tplc="466AA9BC"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1A131407"/>
    <w:multiLevelType w:val="hybridMultilevel"/>
    <w:tmpl w:val="616033C2"/>
    <w:lvl w:ilvl="0" w:tplc="64D6EA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828FF"/>
    <w:multiLevelType w:val="hybridMultilevel"/>
    <w:tmpl w:val="E0689E02"/>
    <w:lvl w:ilvl="0" w:tplc="2E864088">
      <w:start w:val="1"/>
      <w:numFmt w:val="bullet"/>
      <w:lvlText w:val="•"/>
      <w:lvlJc w:val="left"/>
      <w:pPr>
        <w:tabs>
          <w:tab w:val="num" w:pos="360"/>
        </w:tabs>
        <w:ind w:left="360" w:hanging="360"/>
      </w:pPr>
      <w:rPr>
        <w:rFonts w:ascii="Arial" w:hAnsi="Arial" w:hint="default"/>
      </w:rPr>
    </w:lvl>
    <w:lvl w:ilvl="1" w:tplc="0396D124">
      <w:start w:val="3972"/>
      <w:numFmt w:val="bullet"/>
      <w:lvlText w:val="–"/>
      <w:lvlJc w:val="left"/>
      <w:pPr>
        <w:tabs>
          <w:tab w:val="num" w:pos="1080"/>
        </w:tabs>
        <w:ind w:left="1080" w:hanging="360"/>
      </w:pPr>
      <w:rPr>
        <w:rFonts w:ascii="Arial" w:hAnsi="Arial" w:hint="default"/>
      </w:rPr>
    </w:lvl>
    <w:lvl w:ilvl="2" w:tplc="DB387298" w:tentative="1">
      <w:start w:val="1"/>
      <w:numFmt w:val="bullet"/>
      <w:lvlText w:val="•"/>
      <w:lvlJc w:val="left"/>
      <w:pPr>
        <w:tabs>
          <w:tab w:val="num" w:pos="1800"/>
        </w:tabs>
        <w:ind w:left="1800" w:hanging="360"/>
      </w:pPr>
      <w:rPr>
        <w:rFonts w:ascii="Arial" w:hAnsi="Arial" w:hint="default"/>
      </w:rPr>
    </w:lvl>
    <w:lvl w:ilvl="3" w:tplc="B06CB344" w:tentative="1">
      <w:start w:val="1"/>
      <w:numFmt w:val="bullet"/>
      <w:lvlText w:val="•"/>
      <w:lvlJc w:val="left"/>
      <w:pPr>
        <w:tabs>
          <w:tab w:val="num" w:pos="2520"/>
        </w:tabs>
        <w:ind w:left="2520" w:hanging="360"/>
      </w:pPr>
      <w:rPr>
        <w:rFonts w:ascii="Arial" w:hAnsi="Arial" w:hint="default"/>
      </w:rPr>
    </w:lvl>
    <w:lvl w:ilvl="4" w:tplc="E970F57A" w:tentative="1">
      <w:start w:val="1"/>
      <w:numFmt w:val="bullet"/>
      <w:lvlText w:val="•"/>
      <w:lvlJc w:val="left"/>
      <w:pPr>
        <w:tabs>
          <w:tab w:val="num" w:pos="3240"/>
        </w:tabs>
        <w:ind w:left="3240" w:hanging="360"/>
      </w:pPr>
      <w:rPr>
        <w:rFonts w:ascii="Arial" w:hAnsi="Arial" w:hint="default"/>
      </w:rPr>
    </w:lvl>
    <w:lvl w:ilvl="5" w:tplc="112077E4" w:tentative="1">
      <w:start w:val="1"/>
      <w:numFmt w:val="bullet"/>
      <w:lvlText w:val="•"/>
      <w:lvlJc w:val="left"/>
      <w:pPr>
        <w:tabs>
          <w:tab w:val="num" w:pos="3960"/>
        </w:tabs>
        <w:ind w:left="3960" w:hanging="360"/>
      </w:pPr>
      <w:rPr>
        <w:rFonts w:ascii="Arial" w:hAnsi="Arial" w:hint="default"/>
      </w:rPr>
    </w:lvl>
    <w:lvl w:ilvl="6" w:tplc="CE24E718" w:tentative="1">
      <w:start w:val="1"/>
      <w:numFmt w:val="bullet"/>
      <w:lvlText w:val="•"/>
      <w:lvlJc w:val="left"/>
      <w:pPr>
        <w:tabs>
          <w:tab w:val="num" w:pos="4680"/>
        </w:tabs>
        <w:ind w:left="4680" w:hanging="360"/>
      </w:pPr>
      <w:rPr>
        <w:rFonts w:ascii="Arial" w:hAnsi="Arial" w:hint="default"/>
      </w:rPr>
    </w:lvl>
    <w:lvl w:ilvl="7" w:tplc="35964862" w:tentative="1">
      <w:start w:val="1"/>
      <w:numFmt w:val="bullet"/>
      <w:lvlText w:val="•"/>
      <w:lvlJc w:val="left"/>
      <w:pPr>
        <w:tabs>
          <w:tab w:val="num" w:pos="5400"/>
        </w:tabs>
        <w:ind w:left="5400" w:hanging="360"/>
      </w:pPr>
      <w:rPr>
        <w:rFonts w:ascii="Arial" w:hAnsi="Arial" w:hint="default"/>
      </w:rPr>
    </w:lvl>
    <w:lvl w:ilvl="8" w:tplc="4C6E7D9C"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1DCC5A0B"/>
    <w:multiLevelType w:val="hybridMultilevel"/>
    <w:tmpl w:val="1DA0C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71157F"/>
    <w:multiLevelType w:val="hybridMultilevel"/>
    <w:tmpl w:val="97503CE2"/>
    <w:lvl w:ilvl="0" w:tplc="3CF01BCA">
      <w:start w:val="1"/>
      <w:numFmt w:val="bullet"/>
      <w:lvlText w:val="•"/>
      <w:lvlJc w:val="left"/>
      <w:pPr>
        <w:tabs>
          <w:tab w:val="num" w:pos="720"/>
        </w:tabs>
        <w:ind w:left="720" w:hanging="360"/>
      </w:pPr>
      <w:rPr>
        <w:rFonts w:ascii="Arial" w:hAnsi="Arial" w:hint="default"/>
      </w:rPr>
    </w:lvl>
    <w:lvl w:ilvl="1" w:tplc="85BAD2D2">
      <w:start w:val="210"/>
      <w:numFmt w:val="bullet"/>
      <w:lvlText w:val="–"/>
      <w:lvlJc w:val="left"/>
      <w:pPr>
        <w:tabs>
          <w:tab w:val="num" w:pos="1440"/>
        </w:tabs>
        <w:ind w:left="1440" w:hanging="360"/>
      </w:pPr>
      <w:rPr>
        <w:rFonts w:ascii="Arial" w:hAnsi="Arial" w:hint="default"/>
      </w:rPr>
    </w:lvl>
    <w:lvl w:ilvl="2" w:tplc="55061FDE" w:tentative="1">
      <w:start w:val="1"/>
      <w:numFmt w:val="bullet"/>
      <w:lvlText w:val="•"/>
      <w:lvlJc w:val="left"/>
      <w:pPr>
        <w:tabs>
          <w:tab w:val="num" w:pos="2160"/>
        </w:tabs>
        <w:ind w:left="2160" w:hanging="360"/>
      </w:pPr>
      <w:rPr>
        <w:rFonts w:ascii="Arial" w:hAnsi="Arial" w:hint="default"/>
      </w:rPr>
    </w:lvl>
    <w:lvl w:ilvl="3" w:tplc="F416756E" w:tentative="1">
      <w:start w:val="1"/>
      <w:numFmt w:val="bullet"/>
      <w:lvlText w:val="•"/>
      <w:lvlJc w:val="left"/>
      <w:pPr>
        <w:tabs>
          <w:tab w:val="num" w:pos="2880"/>
        </w:tabs>
        <w:ind w:left="2880" w:hanging="360"/>
      </w:pPr>
      <w:rPr>
        <w:rFonts w:ascii="Arial" w:hAnsi="Arial" w:hint="default"/>
      </w:rPr>
    </w:lvl>
    <w:lvl w:ilvl="4" w:tplc="954E6AD0" w:tentative="1">
      <w:start w:val="1"/>
      <w:numFmt w:val="bullet"/>
      <w:lvlText w:val="•"/>
      <w:lvlJc w:val="left"/>
      <w:pPr>
        <w:tabs>
          <w:tab w:val="num" w:pos="3600"/>
        </w:tabs>
        <w:ind w:left="3600" w:hanging="360"/>
      </w:pPr>
      <w:rPr>
        <w:rFonts w:ascii="Arial" w:hAnsi="Arial" w:hint="default"/>
      </w:rPr>
    </w:lvl>
    <w:lvl w:ilvl="5" w:tplc="08F85A78" w:tentative="1">
      <w:start w:val="1"/>
      <w:numFmt w:val="bullet"/>
      <w:lvlText w:val="•"/>
      <w:lvlJc w:val="left"/>
      <w:pPr>
        <w:tabs>
          <w:tab w:val="num" w:pos="4320"/>
        </w:tabs>
        <w:ind w:left="4320" w:hanging="360"/>
      </w:pPr>
      <w:rPr>
        <w:rFonts w:ascii="Arial" w:hAnsi="Arial" w:hint="default"/>
      </w:rPr>
    </w:lvl>
    <w:lvl w:ilvl="6" w:tplc="22EAEAF4" w:tentative="1">
      <w:start w:val="1"/>
      <w:numFmt w:val="bullet"/>
      <w:lvlText w:val="•"/>
      <w:lvlJc w:val="left"/>
      <w:pPr>
        <w:tabs>
          <w:tab w:val="num" w:pos="5040"/>
        </w:tabs>
        <w:ind w:left="5040" w:hanging="360"/>
      </w:pPr>
      <w:rPr>
        <w:rFonts w:ascii="Arial" w:hAnsi="Arial" w:hint="default"/>
      </w:rPr>
    </w:lvl>
    <w:lvl w:ilvl="7" w:tplc="249CFC5A" w:tentative="1">
      <w:start w:val="1"/>
      <w:numFmt w:val="bullet"/>
      <w:lvlText w:val="•"/>
      <w:lvlJc w:val="left"/>
      <w:pPr>
        <w:tabs>
          <w:tab w:val="num" w:pos="5760"/>
        </w:tabs>
        <w:ind w:left="5760" w:hanging="360"/>
      </w:pPr>
      <w:rPr>
        <w:rFonts w:ascii="Arial" w:hAnsi="Arial" w:hint="default"/>
      </w:rPr>
    </w:lvl>
    <w:lvl w:ilvl="8" w:tplc="B5A0588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263636"/>
    <w:multiLevelType w:val="hybridMultilevel"/>
    <w:tmpl w:val="D10C76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A3100A"/>
    <w:multiLevelType w:val="hybridMultilevel"/>
    <w:tmpl w:val="01B84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1F78D9"/>
    <w:multiLevelType w:val="hybridMultilevel"/>
    <w:tmpl w:val="D354D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DC4BCF"/>
    <w:multiLevelType w:val="hybridMultilevel"/>
    <w:tmpl w:val="1A685ED8"/>
    <w:lvl w:ilvl="0" w:tplc="1B6A3AD8">
      <w:start w:val="1"/>
      <w:numFmt w:val="bullet"/>
      <w:lvlText w:val="•"/>
      <w:lvlJc w:val="left"/>
      <w:pPr>
        <w:tabs>
          <w:tab w:val="num" w:pos="644"/>
        </w:tabs>
        <w:ind w:left="644" w:hanging="360"/>
      </w:pPr>
      <w:rPr>
        <w:rFonts w:ascii="Arial" w:hAnsi="Arial" w:hint="default"/>
      </w:rPr>
    </w:lvl>
    <w:lvl w:ilvl="1" w:tplc="F74E0E30">
      <w:numFmt w:val="bullet"/>
      <w:lvlText w:val="•"/>
      <w:lvlJc w:val="left"/>
      <w:pPr>
        <w:tabs>
          <w:tab w:val="num" w:pos="1364"/>
        </w:tabs>
        <w:ind w:left="1364" w:hanging="360"/>
      </w:pPr>
      <w:rPr>
        <w:rFonts w:ascii="Arial" w:hAnsi="Arial" w:hint="default"/>
      </w:rPr>
    </w:lvl>
    <w:lvl w:ilvl="2" w:tplc="8F3EE592">
      <w:numFmt w:val="bullet"/>
      <w:lvlText w:val="•"/>
      <w:lvlJc w:val="left"/>
      <w:pPr>
        <w:tabs>
          <w:tab w:val="num" w:pos="2084"/>
        </w:tabs>
        <w:ind w:left="2084" w:hanging="360"/>
      </w:pPr>
      <w:rPr>
        <w:rFonts w:ascii="Arial" w:hAnsi="Arial" w:hint="default"/>
      </w:rPr>
    </w:lvl>
    <w:lvl w:ilvl="3" w:tplc="9092B14E" w:tentative="1">
      <w:start w:val="1"/>
      <w:numFmt w:val="bullet"/>
      <w:lvlText w:val="•"/>
      <w:lvlJc w:val="left"/>
      <w:pPr>
        <w:tabs>
          <w:tab w:val="num" w:pos="2804"/>
        </w:tabs>
        <w:ind w:left="2804" w:hanging="360"/>
      </w:pPr>
      <w:rPr>
        <w:rFonts w:ascii="Arial" w:hAnsi="Arial" w:hint="default"/>
      </w:rPr>
    </w:lvl>
    <w:lvl w:ilvl="4" w:tplc="7F8CB5EE" w:tentative="1">
      <w:start w:val="1"/>
      <w:numFmt w:val="bullet"/>
      <w:lvlText w:val="•"/>
      <w:lvlJc w:val="left"/>
      <w:pPr>
        <w:tabs>
          <w:tab w:val="num" w:pos="3524"/>
        </w:tabs>
        <w:ind w:left="3524" w:hanging="360"/>
      </w:pPr>
      <w:rPr>
        <w:rFonts w:ascii="Arial" w:hAnsi="Arial" w:hint="default"/>
      </w:rPr>
    </w:lvl>
    <w:lvl w:ilvl="5" w:tplc="1F30E854" w:tentative="1">
      <w:start w:val="1"/>
      <w:numFmt w:val="bullet"/>
      <w:lvlText w:val="•"/>
      <w:lvlJc w:val="left"/>
      <w:pPr>
        <w:tabs>
          <w:tab w:val="num" w:pos="4244"/>
        </w:tabs>
        <w:ind w:left="4244" w:hanging="360"/>
      </w:pPr>
      <w:rPr>
        <w:rFonts w:ascii="Arial" w:hAnsi="Arial" w:hint="default"/>
      </w:rPr>
    </w:lvl>
    <w:lvl w:ilvl="6" w:tplc="A202BF6A" w:tentative="1">
      <w:start w:val="1"/>
      <w:numFmt w:val="bullet"/>
      <w:lvlText w:val="•"/>
      <w:lvlJc w:val="left"/>
      <w:pPr>
        <w:tabs>
          <w:tab w:val="num" w:pos="4964"/>
        </w:tabs>
        <w:ind w:left="4964" w:hanging="360"/>
      </w:pPr>
      <w:rPr>
        <w:rFonts w:ascii="Arial" w:hAnsi="Arial" w:hint="default"/>
      </w:rPr>
    </w:lvl>
    <w:lvl w:ilvl="7" w:tplc="FE8AB6D0" w:tentative="1">
      <w:start w:val="1"/>
      <w:numFmt w:val="bullet"/>
      <w:lvlText w:val="•"/>
      <w:lvlJc w:val="left"/>
      <w:pPr>
        <w:tabs>
          <w:tab w:val="num" w:pos="5684"/>
        </w:tabs>
        <w:ind w:left="5684" w:hanging="360"/>
      </w:pPr>
      <w:rPr>
        <w:rFonts w:ascii="Arial" w:hAnsi="Arial" w:hint="default"/>
      </w:rPr>
    </w:lvl>
    <w:lvl w:ilvl="8" w:tplc="FBEE833E" w:tentative="1">
      <w:start w:val="1"/>
      <w:numFmt w:val="bullet"/>
      <w:lvlText w:val="•"/>
      <w:lvlJc w:val="left"/>
      <w:pPr>
        <w:tabs>
          <w:tab w:val="num" w:pos="6404"/>
        </w:tabs>
        <w:ind w:left="6404" w:hanging="360"/>
      </w:pPr>
      <w:rPr>
        <w:rFonts w:ascii="Arial" w:hAnsi="Arial" w:hint="default"/>
      </w:rPr>
    </w:lvl>
  </w:abstractNum>
  <w:abstractNum w:abstractNumId="19" w15:restartNumberingAfterBreak="0">
    <w:nsid w:val="30E57D35"/>
    <w:multiLevelType w:val="hybridMultilevel"/>
    <w:tmpl w:val="8124B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31027A"/>
    <w:multiLevelType w:val="hybridMultilevel"/>
    <w:tmpl w:val="7400C0DE"/>
    <w:lvl w:ilvl="0" w:tplc="BF92BB26">
      <w:start w:val="1"/>
      <w:numFmt w:val="bullet"/>
      <w:lvlText w:val="•"/>
      <w:lvlJc w:val="left"/>
      <w:pPr>
        <w:tabs>
          <w:tab w:val="num" w:pos="720"/>
        </w:tabs>
        <w:ind w:left="720" w:hanging="360"/>
      </w:pPr>
      <w:rPr>
        <w:rFonts w:ascii="Arial" w:hAnsi="Arial" w:hint="default"/>
      </w:rPr>
    </w:lvl>
    <w:lvl w:ilvl="1" w:tplc="2D86C306">
      <w:start w:val="110"/>
      <w:numFmt w:val="bullet"/>
      <w:lvlText w:val="–"/>
      <w:lvlJc w:val="left"/>
      <w:pPr>
        <w:tabs>
          <w:tab w:val="num" w:pos="1440"/>
        </w:tabs>
        <w:ind w:left="1440" w:hanging="360"/>
      </w:pPr>
      <w:rPr>
        <w:rFonts w:ascii="Arial" w:hAnsi="Arial" w:hint="default"/>
      </w:rPr>
    </w:lvl>
    <w:lvl w:ilvl="2" w:tplc="4D6A5148" w:tentative="1">
      <w:start w:val="1"/>
      <w:numFmt w:val="bullet"/>
      <w:lvlText w:val="•"/>
      <w:lvlJc w:val="left"/>
      <w:pPr>
        <w:tabs>
          <w:tab w:val="num" w:pos="2160"/>
        </w:tabs>
        <w:ind w:left="2160" w:hanging="360"/>
      </w:pPr>
      <w:rPr>
        <w:rFonts w:ascii="Arial" w:hAnsi="Arial" w:hint="default"/>
      </w:rPr>
    </w:lvl>
    <w:lvl w:ilvl="3" w:tplc="936C23FA" w:tentative="1">
      <w:start w:val="1"/>
      <w:numFmt w:val="bullet"/>
      <w:lvlText w:val="•"/>
      <w:lvlJc w:val="left"/>
      <w:pPr>
        <w:tabs>
          <w:tab w:val="num" w:pos="2880"/>
        </w:tabs>
        <w:ind w:left="2880" w:hanging="360"/>
      </w:pPr>
      <w:rPr>
        <w:rFonts w:ascii="Arial" w:hAnsi="Arial" w:hint="default"/>
      </w:rPr>
    </w:lvl>
    <w:lvl w:ilvl="4" w:tplc="B2DEA122" w:tentative="1">
      <w:start w:val="1"/>
      <w:numFmt w:val="bullet"/>
      <w:lvlText w:val="•"/>
      <w:lvlJc w:val="left"/>
      <w:pPr>
        <w:tabs>
          <w:tab w:val="num" w:pos="3600"/>
        </w:tabs>
        <w:ind w:left="3600" w:hanging="360"/>
      </w:pPr>
      <w:rPr>
        <w:rFonts w:ascii="Arial" w:hAnsi="Arial" w:hint="default"/>
      </w:rPr>
    </w:lvl>
    <w:lvl w:ilvl="5" w:tplc="2BE42FA6" w:tentative="1">
      <w:start w:val="1"/>
      <w:numFmt w:val="bullet"/>
      <w:lvlText w:val="•"/>
      <w:lvlJc w:val="left"/>
      <w:pPr>
        <w:tabs>
          <w:tab w:val="num" w:pos="4320"/>
        </w:tabs>
        <w:ind w:left="4320" w:hanging="360"/>
      </w:pPr>
      <w:rPr>
        <w:rFonts w:ascii="Arial" w:hAnsi="Arial" w:hint="default"/>
      </w:rPr>
    </w:lvl>
    <w:lvl w:ilvl="6" w:tplc="3AEA7328" w:tentative="1">
      <w:start w:val="1"/>
      <w:numFmt w:val="bullet"/>
      <w:lvlText w:val="•"/>
      <w:lvlJc w:val="left"/>
      <w:pPr>
        <w:tabs>
          <w:tab w:val="num" w:pos="5040"/>
        </w:tabs>
        <w:ind w:left="5040" w:hanging="360"/>
      </w:pPr>
      <w:rPr>
        <w:rFonts w:ascii="Arial" w:hAnsi="Arial" w:hint="default"/>
      </w:rPr>
    </w:lvl>
    <w:lvl w:ilvl="7" w:tplc="5768CCE8" w:tentative="1">
      <w:start w:val="1"/>
      <w:numFmt w:val="bullet"/>
      <w:lvlText w:val="•"/>
      <w:lvlJc w:val="left"/>
      <w:pPr>
        <w:tabs>
          <w:tab w:val="num" w:pos="5760"/>
        </w:tabs>
        <w:ind w:left="5760" w:hanging="360"/>
      </w:pPr>
      <w:rPr>
        <w:rFonts w:ascii="Arial" w:hAnsi="Arial" w:hint="default"/>
      </w:rPr>
    </w:lvl>
    <w:lvl w:ilvl="8" w:tplc="5D66A77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3067BFD"/>
    <w:multiLevelType w:val="hybridMultilevel"/>
    <w:tmpl w:val="E31C6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23" w15:restartNumberingAfterBreak="0">
    <w:nsid w:val="4B3574F4"/>
    <w:multiLevelType w:val="hybridMultilevel"/>
    <w:tmpl w:val="FBC0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071801"/>
    <w:multiLevelType w:val="hybridMultilevel"/>
    <w:tmpl w:val="38D23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B2D2933"/>
    <w:multiLevelType w:val="hybridMultilevel"/>
    <w:tmpl w:val="AD7A9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F7441EE"/>
    <w:multiLevelType w:val="hybridMultilevel"/>
    <w:tmpl w:val="F54E51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949B5"/>
    <w:multiLevelType w:val="hybridMultilevel"/>
    <w:tmpl w:val="C20E3486"/>
    <w:lvl w:ilvl="0" w:tplc="40AA170E">
      <w:start w:val="1"/>
      <w:numFmt w:val="bullet"/>
      <w:lvlText w:val="•"/>
      <w:lvlJc w:val="left"/>
      <w:pPr>
        <w:tabs>
          <w:tab w:val="num" w:pos="720"/>
        </w:tabs>
        <w:ind w:left="720" w:hanging="360"/>
      </w:pPr>
      <w:rPr>
        <w:rFonts w:ascii="Arial" w:hAnsi="Arial" w:hint="default"/>
      </w:rPr>
    </w:lvl>
    <w:lvl w:ilvl="1" w:tplc="C16A972C">
      <w:start w:val="22177"/>
      <w:numFmt w:val="bullet"/>
      <w:lvlText w:val="–"/>
      <w:lvlJc w:val="left"/>
      <w:pPr>
        <w:tabs>
          <w:tab w:val="num" w:pos="1440"/>
        </w:tabs>
        <w:ind w:left="1440" w:hanging="360"/>
      </w:pPr>
      <w:rPr>
        <w:rFonts w:ascii="Arial" w:hAnsi="Arial" w:hint="default"/>
      </w:rPr>
    </w:lvl>
    <w:lvl w:ilvl="2" w:tplc="020020AC">
      <w:start w:val="22177"/>
      <w:numFmt w:val="bullet"/>
      <w:lvlText w:val="•"/>
      <w:lvlJc w:val="left"/>
      <w:pPr>
        <w:tabs>
          <w:tab w:val="num" w:pos="2160"/>
        </w:tabs>
        <w:ind w:left="2160" w:hanging="360"/>
      </w:pPr>
      <w:rPr>
        <w:rFonts w:ascii="Arial" w:hAnsi="Arial" w:hint="default"/>
      </w:rPr>
    </w:lvl>
    <w:lvl w:ilvl="3" w:tplc="DD361500" w:tentative="1">
      <w:start w:val="1"/>
      <w:numFmt w:val="bullet"/>
      <w:lvlText w:val="•"/>
      <w:lvlJc w:val="left"/>
      <w:pPr>
        <w:tabs>
          <w:tab w:val="num" w:pos="2880"/>
        </w:tabs>
        <w:ind w:left="2880" w:hanging="360"/>
      </w:pPr>
      <w:rPr>
        <w:rFonts w:ascii="Arial" w:hAnsi="Arial" w:hint="default"/>
      </w:rPr>
    </w:lvl>
    <w:lvl w:ilvl="4" w:tplc="247C27C6" w:tentative="1">
      <w:start w:val="1"/>
      <w:numFmt w:val="bullet"/>
      <w:lvlText w:val="•"/>
      <w:lvlJc w:val="left"/>
      <w:pPr>
        <w:tabs>
          <w:tab w:val="num" w:pos="3600"/>
        </w:tabs>
        <w:ind w:left="3600" w:hanging="360"/>
      </w:pPr>
      <w:rPr>
        <w:rFonts w:ascii="Arial" w:hAnsi="Arial" w:hint="default"/>
      </w:rPr>
    </w:lvl>
    <w:lvl w:ilvl="5" w:tplc="46384992" w:tentative="1">
      <w:start w:val="1"/>
      <w:numFmt w:val="bullet"/>
      <w:lvlText w:val="•"/>
      <w:lvlJc w:val="left"/>
      <w:pPr>
        <w:tabs>
          <w:tab w:val="num" w:pos="4320"/>
        </w:tabs>
        <w:ind w:left="4320" w:hanging="360"/>
      </w:pPr>
      <w:rPr>
        <w:rFonts w:ascii="Arial" w:hAnsi="Arial" w:hint="default"/>
      </w:rPr>
    </w:lvl>
    <w:lvl w:ilvl="6" w:tplc="B7EA1F66" w:tentative="1">
      <w:start w:val="1"/>
      <w:numFmt w:val="bullet"/>
      <w:lvlText w:val="•"/>
      <w:lvlJc w:val="left"/>
      <w:pPr>
        <w:tabs>
          <w:tab w:val="num" w:pos="5040"/>
        </w:tabs>
        <w:ind w:left="5040" w:hanging="360"/>
      </w:pPr>
      <w:rPr>
        <w:rFonts w:ascii="Arial" w:hAnsi="Arial" w:hint="default"/>
      </w:rPr>
    </w:lvl>
    <w:lvl w:ilvl="7" w:tplc="036E0ED4" w:tentative="1">
      <w:start w:val="1"/>
      <w:numFmt w:val="bullet"/>
      <w:lvlText w:val="•"/>
      <w:lvlJc w:val="left"/>
      <w:pPr>
        <w:tabs>
          <w:tab w:val="num" w:pos="5760"/>
        </w:tabs>
        <w:ind w:left="5760" w:hanging="360"/>
      </w:pPr>
      <w:rPr>
        <w:rFonts w:ascii="Arial" w:hAnsi="Arial" w:hint="default"/>
      </w:rPr>
    </w:lvl>
    <w:lvl w:ilvl="8" w:tplc="2C2AA30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3A50CB1"/>
    <w:multiLevelType w:val="hybridMultilevel"/>
    <w:tmpl w:val="4BB49E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4636D15"/>
    <w:multiLevelType w:val="hybridMultilevel"/>
    <w:tmpl w:val="F70E6E60"/>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0" w15:restartNumberingAfterBreak="0">
    <w:nsid w:val="6B503141"/>
    <w:multiLevelType w:val="hybridMultilevel"/>
    <w:tmpl w:val="A3CE88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692CC3"/>
    <w:multiLevelType w:val="hybridMultilevel"/>
    <w:tmpl w:val="CFD00A3E"/>
    <w:lvl w:ilvl="0" w:tplc="265CEE12">
      <w:start w:val="1"/>
      <w:numFmt w:val="bullet"/>
      <w:lvlText w:val="•"/>
      <w:lvlJc w:val="left"/>
      <w:pPr>
        <w:tabs>
          <w:tab w:val="num" w:pos="360"/>
        </w:tabs>
        <w:ind w:left="360" w:hanging="360"/>
      </w:pPr>
      <w:rPr>
        <w:rFonts w:ascii="Arial" w:hAnsi="Arial" w:hint="default"/>
      </w:rPr>
    </w:lvl>
    <w:lvl w:ilvl="1" w:tplc="B366D95C">
      <w:numFmt w:val="bullet"/>
      <w:lvlText w:val="•"/>
      <w:lvlJc w:val="left"/>
      <w:pPr>
        <w:tabs>
          <w:tab w:val="num" w:pos="1080"/>
        </w:tabs>
        <w:ind w:left="1080" w:hanging="360"/>
      </w:pPr>
      <w:rPr>
        <w:rFonts w:ascii="Arial" w:hAnsi="Arial" w:hint="default"/>
      </w:rPr>
    </w:lvl>
    <w:lvl w:ilvl="2" w:tplc="41525B6E">
      <w:numFmt w:val="bullet"/>
      <w:lvlText w:val="•"/>
      <w:lvlJc w:val="left"/>
      <w:pPr>
        <w:tabs>
          <w:tab w:val="num" w:pos="1800"/>
        </w:tabs>
        <w:ind w:left="1800" w:hanging="360"/>
      </w:pPr>
      <w:rPr>
        <w:rFonts w:ascii="Arial" w:hAnsi="Arial" w:hint="default"/>
      </w:rPr>
    </w:lvl>
    <w:lvl w:ilvl="3" w:tplc="170A6410" w:tentative="1">
      <w:start w:val="1"/>
      <w:numFmt w:val="bullet"/>
      <w:lvlText w:val="•"/>
      <w:lvlJc w:val="left"/>
      <w:pPr>
        <w:tabs>
          <w:tab w:val="num" w:pos="2520"/>
        </w:tabs>
        <w:ind w:left="2520" w:hanging="360"/>
      </w:pPr>
      <w:rPr>
        <w:rFonts w:ascii="Arial" w:hAnsi="Arial" w:hint="default"/>
      </w:rPr>
    </w:lvl>
    <w:lvl w:ilvl="4" w:tplc="2C202754" w:tentative="1">
      <w:start w:val="1"/>
      <w:numFmt w:val="bullet"/>
      <w:lvlText w:val="•"/>
      <w:lvlJc w:val="left"/>
      <w:pPr>
        <w:tabs>
          <w:tab w:val="num" w:pos="3240"/>
        </w:tabs>
        <w:ind w:left="3240" w:hanging="360"/>
      </w:pPr>
      <w:rPr>
        <w:rFonts w:ascii="Arial" w:hAnsi="Arial" w:hint="default"/>
      </w:rPr>
    </w:lvl>
    <w:lvl w:ilvl="5" w:tplc="3574165E" w:tentative="1">
      <w:start w:val="1"/>
      <w:numFmt w:val="bullet"/>
      <w:lvlText w:val="•"/>
      <w:lvlJc w:val="left"/>
      <w:pPr>
        <w:tabs>
          <w:tab w:val="num" w:pos="3960"/>
        </w:tabs>
        <w:ind w:left="3960" w:hanging="360"/>
      </w:pPr>
      <w:rPr>
        <w:rFonts w:ascii="Arial" w:hAnsi="Arial" w:hint="default"/>
      </w:rPr>
    </w:lvl>
    <w:lvl w:ilvl="6" w:tplc="52AE3896" w:tentative="1">
      <w:start w:val="1"/>
      <w:numFmt w:val="bullet"/>
      <w:lvlText w:val="•"/>
      <w:lvlJc w:val="left"/>
      <w:pPr>
        <w:tabs>
          <w:tab w:val="num" w:pos="4680"/>
        </w:tabs>
        <w:ind w:left="4680" w:hanging="360"/>
      </w:pPr>
      <w:rPr>
        <w:rFonts w:ascii="Arial" w:hAnsi="Arial" w:hint="default"/>
      </w:rPr>
    </w:lvl>
    <w:lvl w:ilvl="7" w:tplc="1FA4291E" w:tentative="1">
      <w:start w:val="1"/>
      <w:numFmt w:val="bullet"/>
      <w:lvlText w:val="•"/>
      <w:lvlJc w:val="left"/>
      <w:pPr>
        <w:tabs>
          <w:tab w:val="num" w:pos="5400"/>
        </w:tabs>
        <w:ind w:left="5400" w:hanging="360"/>
      </w:pPr>
      <w:rPr>
        <w:rFonts w:ascii="Arial" w:hAnsi="Arial" w:hint="default"/>
      </w:rPr>
    </w:lvl>
    <w:lvl w:ilvl="8" w:tplc="DFF42336" w:tentative="1">
      <w:start w:val="1"/>
      <w:numFmt w:val="bullet"/>
      <w:lvlText w:val="•"/>
      <w:lvlJc w:val="left"/>
      <w:pPr>
        <w:tabs>
          <w:tab w:val="num" w:pos="6120"/>
        </w:tabs>
        <w:ind w:left="6120" w:hanging="360"/>
      </w:pPr>
      <w:rPr>
        <w:rFonts w:ascii="Arial" w:hAnsi="Arial" w:hint="default"/>
      </w:rPr>
    </w:lvl>
  </w:abstractNum>
  <w:abstractNum w:abstractNumId="35" w15:restartNumberingAfterBreak="0">
    <w:nsid w:val="7FE42516"/>
    <w:multiLevelType w:val="hybridMultilevel"/>
    <w:tmpl w:val="01128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F24793"/>
    <w:multiLevelType w:val="hybridMultilevel"/>
    <w:tmpl w:val="4B267B6A"/>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31"/>
  </w:num>
  <w:num w:numId="3">
    <w:abstractNumId w:val="33"/>
  </w:num>
  <w:num w:numId="4">
    <w:abstractNumId w:val="14"/>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3"/>
  </w:num>
  <w:num w:numId="8">
    <w:abstractNumId w:val="10"/>
  </w:num>
  <w:num w:numId="9">
    <w:abstractNumId w:val="23"/>
  </w:num>
  <w:num w:numId="10">
    <w:abstractNumId w:val="4"/>
  </w:num>
  <w:num w:numId="11">
    <w:abstractNumId w:val="20"/>
  </w:num>
  <w:num w:numId="12">
    <w:abstractNumId w:val="8"/>
  </w:num>
  <w:num w:numId="13">
    <w:abstractNumId w:val="19"/>
  </w:num>
  <w:num w:numId="14">
    <w:abstractNumId w:val="2"/>
  </w:num>
  <w:num w:numId="15">
    <w:abstractNumId w:val="36"/>
  </w:num>
  <w:num w:numId="16">
    <w:abstractNumId w:val="27"/>
  </w:num>
  <w:num w:numId="17">
    <w:abstractNumId w:val="11"/>
  </w:num>
  <w:num w:numId="18">
    <w:abstractNumId w:val="35"/>
  </w:num>
  <w:num w:numId="19">
    <w:abstractNumId w:val="26"/>
  </w:num>
  <w:num w:numId="20">
    <w:abstractNumId w:val="17"/>
  </w:num>
  <w:num w:numId="21">
    <w:abstractNumId w:val="28"/>
  </w:num>
  <w:num w:numId="22">
    <w:abstractNumId w:val="25"/>
  </w:num>
  <w:num w:numId="23">
    <w:abstractNumId w:val="5"/>
  </w:num>
  <w:num w:numId="24">
    <w:abstractNumId w:val="1"/>
    <w:lvlOverride w:ilvl="0">
      <w:lvl w:ilvl="0">
        <w:start w:val="1"/>
        <w:numFmt w:val="bullet"/>
        <w:pStyle w:val="CharChar3CharCharCharCharCharChar"/>
        <w:lvlText w:val=""/>
        <w:legacy w:legacy="1" w:legacySpace="0" w:legacyIndent="360"/>
        <w:lvlJc w:val="left"/>
        <w:pPr>
          <w:ind w:left="360" w:hanging="360"/>
        </w:pPr>
        <w:rPr>
          <w:rFonts w:ascii="Symbol" w:hAnsi="Symbol" w:hint="default"/>
        </w:rPr>
      </w:lvl>
    </w:lvlOverride>
  </w:num>
  <w:num w:numId="25">
    <w:abstractNumId w:val="29"/>
  </w:num>
  <w:num w:numId="26">
    <w:abstractNumId w:val="32"/>
  </w:num>
  <w:num w:numId="27">
    <w:abstractNumId w:val="7"/>
  </w:num>
  <w:num w:numId="28">
    <w:abstractNumId w:val="30"/>
  </w:num>
  <w:num w:numId="29">
    <w:abstractNumId w:val="21"/>
  </w:num>
  <w:num w:numId="30">
    <w:abstractNumId w:val="16"/>
  </w:num>
  <w:num w:numId="31">
    <w:abstractNumId w:val="24"/>
  </w:num>
  <w:num w:numId="32">
    <w:abstractNumId w:val="12"/>
  </w:num>
  <w:num w:numId="33">
    <w:abstractNumId w:val="3"/>
  </w:num>
  <w:num w:numId="34">
    <w:abstractNumId w:val="15"/>
  </w:num>
  <w:num w:numId="35">
    <w:abstractNumId w:val="9"/>
  </w:num>
  <w:num w:numId="36">
    <w:abstractNumId w:val="6"/>
  </w:num>
  <w:num w:numId="37">
    <w:abstractNumId w:val="34"/>
  </w:num>
  <w:num w:numId="38">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1EA"/>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370"/>
    <w:rsid w:val="00037532"/>
    <w:rsid w:val="000375C1"/>
    <w:rsid w:val="000378CF"/>
    <w:rsid w:val="00037CD0"/>
    <w:rsid w:val="00040184"/>
    <w:rsid w:val="00040549"/>
    <w:rsid w:val="000407FE"/>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CCD"/>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BAB"/>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928"/>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FBB"/>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CC8"/>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6F1B"/>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42D"/>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67F07"/>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A24"/>
    <w:rsid w:val="001A0B09"/>
    <w:rsid w:val="001A0B23"/>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6B0"/>
    <w:rsid w:val="001A5820"/>
    <w:rsid w:val="001A584A"/>
    <w:rsid w:val="001A5F42"/>
    <w:rsid w:val="001A6604"/>
    <w:rsid w:val="001A696C"/>
    <w:rsid w:val="001A6DDC"/>
    <w:rsid w:val="001A6DEA"/>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CD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7B7"/>
    <w:rsid w:val="00221FC2"/>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725"/>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6F1"/>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9D9"/>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2CD"/>
    <w:rsid w:val="002C73B3"/>
    <w:rsid w:val="002C788F"/>
    <w:rsid w:val="002C7E1C"/>
    <w:rsid w:val="002D00A3"/>
    <w:rsid w:val="002D087B"/>
    <w:rsid w:val="002D0923"/>
    <w:rsid w:val="002D0BCE"/>
    <w:rsid w:val="002D0C19"/>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5A6"/>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0EB2"/>
    <w:rsid w:val="00311507"/>
    <w:rsid w:val="00311D14"/>
    <w:rsid w:val="00311D70"/>
    <w:rsid w:val="00311EF9"/>
    <w:rsid w:val="003124BC"/>
    <w:rsid w:val="00312747"/>
    <w:rsid w:val="00312904"/>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639"/>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DB4"/>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2CF"/>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C3E"/>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960"/>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3ECB"/>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700"/>
    <w:rsid w:val="00436C38"/>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2719"/>
    <w:rsid w:val="004B2FAC"/>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B3D"/>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803"/>
    <w:rsid w:val="005179EC"/>
    <w:rsid w:val="00517A6F"/>
    <w:rsid w:val="00517AAA"/>
    <w:rsid w:val="00517AE9"/>
    <w:rsid w:val="00517E69"/>
    <w:rsid w:val="00520A7E"/>
    <w:rsid w:val="00520E56"/>
    <w:rsid w:val="00520E7A"/>
    <w:rsid w:val="00520FEC"/>
    <w:rsid w:val="005210FE"/>
    <w:rsid w:val="00521335"/>
    <w:rsid w:val="005217AE"/>
    <w:rsid w:val="005217F3"/>
    <w:rsid w:val="00521A11"/>
    <w:rsid w:val="00521B57"/>
    <w:rsid w:val="00521E44"/>
    <w:rsid w:val="00521F5F"/>
    <w:rsid w:val="0052211A"/>
    <w:rsid w:val="005222EA"/>
    <w:rsid w:val="005223F6"/>
    <w:rsid w:val="0052356C"/>
    <w:rsid w:val="00523601"/>
    <w:rsid w:val="00523667"/>
    <w:rsid w:val="0052367A"/>
    <w:rsid w:val="00523971"/>
    <w:rsid w:val="00523979"/>
    <w:rsid w:val="00523F8A"/>
    <w:rsid w:val="0052406A"/>
    <w:rsid w:val="00524218"/>
    <w:rsid w:val="005242B4"/>
    <w:rsid w:val="005244F7"/>
    <w:rsid w:val="005246D7"/>
    <w:rsid w:val="00524A43"/>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1E3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CD3"/>
    <w:rsid w:val="00643ECF"/>
    <w:rsid w:val="00643FD3"/>
    <w:rsid w:val="006443EF"/>
    <w:rsid w:val="00644C82"/>
    <w:rsid w:val="006453D5"/>
    <w:rsid w:val="00645E08"/>
    <w:rsid w:val="006460BD"/>
    <w:rsid w:val="006463D9"/>
    <w:rsid w:val="00646597"/>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E64"/>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113"/>
    <w:rsid w:val="006B02E7"/>
    <w:rsid w:val="006B03AA"/>
    <w:rsid w:val="006B0605"/>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51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A09"/>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14"/>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0D6"/>
    <w:rsid w:val="007822EB"/>
    <w:rsid w:val="00782882"/>
    <w:rsid w:val="0078297D"/>
    <w:rsid w:val="00782B76"/>
    <w:rsid w:val="00782B8E"/>
    <w:rsid w:val="00783A15"/>
    <w:rsid w:val="00784143"/>
    <w:rsid w:val="007843E3"/>
    <w:rsid w:val="007846C3"/>
    <w:rsid w:val="007846F4"/>
    <w:rsid w:val="00784797"/>
    <w:rsid w:val="007848DF"/>
    <w:rsid w:val="00784CB7"/>
    <w:rsid w:val="0078579A"/>
    <w:rsid w:val="0078583F"/>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61"/>
    <w:rsid w:val="007C72A8"/>
    <w:rsid w:val="007C7C26"/>
    <w:rsid w:val="007D01C7"/>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0A7"/>
    <w:rsid w:val="007D77B4"/>
    <w:rsid w:val="007D7872"/>
    <w:rsid w:val="007D78C4"/>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789"/>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3D0F"/>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5C3"/>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ABB"/>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980"/>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6A50"/>
    <w:rsid w:val="00956A61"/>
    <w:rsid w:val="00956A74"/>
    <w:rsid w:val="00956B18"/>
    <w:rsid w:val="00956B1E"/>
    <w:rsid w:val="00956C21"/>
    <w:rsid w:val="00956ECF"/>
    <w:rsid w:val="009576CD"/>
    <w:rsid w:val="00957869"/>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431"/>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76D"/>
    <w:rsid w:val="009A59C2"/>
    <w:rsid w:val="009A5B72"/>
    <w:rsid w:val="009A5CB7"/>
    <w:rsid w:val="009A5F5C"/>
    <w:rsid w:val="009A5F68"/>
    <w:rsid w:val="009A62C4"/>
    <w:rsid w:val="009A6824"/>
    <w:rsid w:val="009A7536"/>
    <w:rsid w:val="009A75D6"/>
    <w:rsid w:val="009A76EF"/>
    <w:rsid w:val="009A7B85"/>
    <w:rsid w:val="009A7F26"/>
    <w:rsid w:val="009B0627"/>
    <w:rsid w:val="009B08BF"/>
    <w:rsid w:val="009B08EE"/>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37FF"/>
    <w:rsid w:val="009B40D9"/>
    <w:rsid w:val="009B422B"/>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256"/>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4F25"/>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D5"/>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982"/>
    <w:rsid w:val="00A86A17"/>
    <w:rsid w:val="00A86D3E"/>
    <w:rsid w:val="00A8741D"/>
    <w:rsid w:val="00A87424"/>
    <w:rsid w:val="00A87552"/>
    <w:rsid w:val="00A87665"/>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118"/>
    <w:rsid w:val="00AD2599"/>
    <w:rsid w:val="00AD259C"/>
    <w:rsid w:val="00AD292A"/>
    <w:rsid w:val="00AD2BED"/>
    <w:rsid w:val="00AD2C3C"/>
    <w:rsid w:val="00AD2DF4"/>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C94"/>
    <w:rsid w:val="00AE6D3E"/>
    <w:rsid w:val="00AE6F9E"/>
    <w:rsid w:val="00AE72F2"/>
    <w:rsid w:val="00AE7480"/>
    <w:rsid w:val="00AE7DB5"/>
    <w:rsid w:val="00AF0B03"/>
    <w:rsid w:val="00AF0E8C"/>
    <w:rsid w:val="00AF1477"/>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5AA1"/>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3B14"/>
    <w:rsid w:val="00BC412B"/>
    <w:rsid w:val="00BC4194"/>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E4"/>
    <w:rsid w:val="00C03DBE"/>
    <w:rsid w:val="00C03E94"/>
    <w:rsid w:val="00C04709"/>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28B"/>
    <w:rsid w:val="00C62B18"/>
    <w:rsid w:val="00C62B4C"/>
    <w:rsid w:val="00C62CFC"/>
    <w:rsid w:val="00C62F85"/>
    <w:rsid w:val="00C63096"/>
    <w:rsid w:val="00C6322B"/>
    <w:rsid w:val="00C63287"/>
    <w:rsid w:val="00C63D7C"/>
    <w:rsid w:val="00C63E3F"/>
    <w:rsid w:val="00C63F8A"/>
    <w:rsid w:val="00C63FAC"/>
    <w:rsid w:val="00C63FBE"/>
    <w:rsid w:val="00C63FEE"/>
    <w:rsid w:val="00C6411C"/>
    <w:rsid w:val="00C644C8"/>
    <w:rsid w:val="00C64668"/>
    <w:rsid w:val="00C64915"/>
    <w:rsid w:val="00C6495E"/>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82E"/>
    <w:rsid w:val="00C70C85"/>
    <w:rsid w:val="00C718D5"/>
    <w:rsid w:val="00C71E7D"/>
    <w:rsid w:val="00C71F6E"/>
    <w:rsid w:val="00C72188"/>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5B62"/>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38B"/>
    <w:rsid w:val="00CA2EE6"/>
    <w:rsid w:val="00CA347E"/>
    <w:rsid w:val="00CA3970"/>
    <w:rsid w:val="00CA3A0B"/>
    <w:rsid w:val="00CA3B63"/>
    <w:rsid w:val="00CA3F59"/>
    <w:rsid w:val="00CA406D"/>
    <w:rsid w:val="00CA40ED"/>
    <w:rsid w:val="00CA417C"/>
    <w:rsid w:val="00CA4220"/>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3D83"/>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3E5"/>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D8E"/>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4564"/>
    <w:rsid w:val="00DE4668"/>
    <w:rsid w:val="00DE4CBC"/>
    <w:rsid w:val="00DE5154"/>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C33"/>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48"/>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911"/>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36"/>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2C7"/>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35C"/>
    <w:rsid w:val="00EE0D40"/>
    <w:rsid w:val="00EE118C"/>
    <w:rsid w:val="00EE11AF"/>
    <w:rsid w:val="00EE1502"/>
    <w:rsid w:val="00EE1685"/>
    <w:rsid w:val="00EE19FC"/>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1F73"/>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B97"/>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42"/>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2E8"/>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17FD"/>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AF0"/>
    <w:rsid w:val="00FE7F6A"/>
    <w:rsid w:val="00FF021F"/>
    <w:rsid w:val="00FF0D29"/>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Normal"/>
    <w:next w:val="Doc-text2"/>
    <w:rsid w:val="009C5EB9"/>
    <w:pPr>
      <w:numPr>
        <w:numId w:val="26"/>
      </w:numPr>
      <w:spacing w:before="60" w:after="0"/>
    </w:pPr>
    <w:rPr>
      <w:rFonts w:ascii="Arial" w:hAnsi="Arial"/>
      <w:b/>
      <w:szCs w:val="24"/>
      <w:lang w:eastAsia="en-GB"/>
    </w:rPr>
  </w:style>
  <w:style w:type="character" w:customStyle="1" w:styleId="PLChar">
    <w:name w:val="PL Char"/>
    <w:basedOn w:val="DefaultParagraphFont"/>
    <w:link w:val="PL"/>
    <w:locked/>
    <w:rsid w:val="002D0C19"/>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89290322">
      <w:bodyDiv w:val="1"/>
      <w:marLeft w:val="0"/>
      <w:marRight w:val="0"/>
      <w:marTop w:val="0"/>
      <w:marBottom w:val="0"/>
      <w:divBdr>
        <w:top w:val="none" w:sz="0" w:space="0" w:color="auto"/>
        <w:left w:val="none" w:sz="0" w:space="0" w:color="auto"/>
        <w:bottom w:val="none" w:sz="0" w:space="0" w:color="auto"/>
        <w:right w:val="none" w:sz="0" w:space="0" w:color="auto"/>
      </w:divBdr>
      <w:divsChild>
        <w:div w:id="1266887234">
          <w:marLeft w:val="360"/>
          <w:marRight w:val="0"/>
          <w:marTop w:val="200"/>
          <w:marBottom w:val="0"/>
          <w:divBdr>
            <w:top w:val="none" w:sz="0" w:space="0" w:color="auto"/>
            <w:left w:val="none" w:sz="0" w:space="0" w:color="auto"/>
            <w:bottom w:val="none" w:sz="0" w:space="0" w:color="auto"/>
            <w:right w:val="none" w:sz="0" w:space="0" w:color="auto"/>
          </w:divBdr>
        </w:div>
        <w:div w:id="316110537">
          <w:marLeft w:val="1080"/>
          <w:marRight w:val="0"/>
          <w:marTop w:val="100"/>
          <w:marBottom w:val="0"/>
          <w:divBdr>
            <w:top w:val="none" w:sz="0" w:space="0" w:color="auto"/>
            <w:left w:val="none" w:sz="0" w:space="0" w:color="auto"/>
            <w:bottom w:val="none" w:sz="0" w:space="0" w:color="auto"/>
            <w:right w:val="none" w:sz="0" w:space="0" w:color="auto"/>
          </w:divBdr>
        </w:div>
        <w:div w:id="1024750616">
          <w:marLeft w:val="1800"/>
          <w:marRight w:val="0"/>
          <w:marTop w:val="100"/>
          <w:marBottom w:val="0"/>
          <w:divBdr>
            <w:top w:val="none" w:sz="0" w:space="0" w:color="auto"/>
            <w:left w:val="none" w:sz="0" w:space="0" w:color="auto"/>
            <w:bottom w:val="none" w:sz="0" w:space="0" w:color="auto"/>
            <w:right w:val="none" w:sz="0" w:space="0" w:color="auto"/>
          </w:divBdr>
        </w:div>
        <w:div w:id="114103648">
          <w:marLeft w:val="1800"/>
          <w:marRight w:val="0"/>
          <w:marTop w:val="100"/>
          <w:marBottom w:val="0"/>
          <w:divBdr>
            <w:top w:val="none" w:sz="0" w:space="0" w:color="auto"/>
            <w:left w:val="none" w:sz="0" w:space="0" w:color="auto"/>
            <w:bottom w:val="none" w:sz="0" w:space="0" w:color="auto"/>
            <w:right w:val="none" w:sz="0" w:space="0" w:color="auto"/>
          </w:divBdr>
        </w:div>
        <w:div w:id="359018127">
          <w:marLeft w:val="1080"/>
          <w:marRight w:val="0"/>
          <w:marTop w:val="100"/>
          <w:marBottom w:val="0"/>
          <w:divBdr>
            <w:top w:val="none" w:sz="0" w:space="0" w:color="auto"/>
            <w:left w:val="none" w:sz="0" w:space="0" w:color="auto"/>
            <w:bottom w:val="none" w:sz="0" w:space="0" w:color="auto"/>
            <w:right w:val="none" w:sz="0" w:space="0" w:color="auto"/>
          </w:divBdr>
        </w:div>
        <w:div w:id="433674966">
          <w:marLeft w:val="1800"/>
          <w:marRight w:val="0"/>
          <w:marTop w:val="100"/>
          <w:marBottom w:val="0"/>
          <w:divBdr>
            <w:top w:val="none" w:sz="0" w:space="0" w:color="auto"/>
            <w:left w:val="none" w:sz="0" w:space="0" w:color="auto"/>
            <w:bottom w:val="none" w:sz="0" w:space="0" w:color="auto"/>
            <w:right w:val="none" w:sz="0" w:space="0" w:color="auto"/>
          </w:divBdr>
        </w:div>
        <w:div w:id="508637725">
          <w:marLeft w:val="1800"/>
          <w:marRight w:val="0"/>
          <w:marTop w:val="100"/>
          <w:marBottom w:val="0"/>
          <w:divBdr>
            <w:top w:val="none" w:sz="0" w:space="0" w:color="auto"/>
            <w:left w:val="none" w:sz="0" w:space="0" w:color="auto"/>
            <w:bottom w:val="none" w:sz="0" w:space="0" w:color="auto"/>
            <w:right w:val="none" w:sz="0" w:space="0" w:color="auto"/>
          </w:divBdr>
        </w:div>
        <w:div w:id="1314144722">
          <w:marLeft w:val="1800"/>
          <w:marRight w:val="0"/>
          <w:marTop w:val="100"/>
          <w:marBottom w:val="0"/>
          <w:divBdr>
            <w:top w:val="none" w:sz="0" w:space="0" w:color="auto"/>
            <w:left w:val="none" w:sz="0" w:space="0" w:color="auto"/>
            <w:bottom w:val="none" w:sz="0" w:space="0" w:color="auto"/>
            <w:right w:val="none" w:sz="0" w:space="0" w:color="auto"/>
          </w:divBdr>
        </w:div>
        <w:div w:id="2051032224">
          <w:marLeft w:val="1800"/>
          <w:marRight w:val="0"/>
          <w:marTop w:val="100"/>
          <w:marBottom w:val="0"/>
          <w:divBdr>
            <w:top w:val="none" w:sz="0" w:space="0" w:color="auto"/>
            <w:left w:val="none" w:sz="0" w:space="0" w:color="auto"/>
            <w:bottom w:val="none" w:sz="0" w:space="0" w:color="auto"/>
            <w:right w:val="none" w:sz="0" w:space="0" w:color="auto"/>
          </w:divBdr>
        </w:div>
        <w:div w:id="120657606">
          <w:marLeft w:val="1080"/>
          <w:marRight w:val="0"/>
          <w:marTop w:val="10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1D2D7F-DD65-4B60-A26B-DDCB886212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272</TotalTime>
  <Pages>4</Pages>
  <Words>1140</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7623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68</cp:revision>
  <cp:lastPrinted>2009-04-22T21:01:00Z</cp:lastPrinted>
  <dcterms:created xsi:type="dcterms:W3CDTF">2020-02-06T17:20:00Z</dcterms:created>
  <dcterms:modified xsi:type="dcterms:W3CDTF">2020-02-14T01:39:00Z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